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1A74" w14:textId="77777777" w:rsidR="00AE3CDA" w:rsidRDefault="00AE3CDA" w:rsidP="00AE3CDA">
      <w:pPr>
        <w:jc w:val="center"/>
        <w:rPr>
          <w:b/>
          <w:sz w:val="40"/>
          <w:szCs w:val="40"/>
        </w:rPr>
      </w:pPr>
      <w:r w:rsidRPr="001640F2">
        <w:rPr>
          <w:rFonts w:cstheme="minorHAnsi"/>
          <w:noProof/>
          <w:szCs w:val="22"/>
        </w:rPr>
        <w:drawing>
          <wp:anchor distT="0" distB="0" distL="114300" distR="114300" simplePos="0" relativeHeight="251659264" behindDoc="0" locked="0" layoutInCell="0" hidden="0" allowOverlap="0" wp14:anchorId="0EF95F17" wp14:editId="0FC1A131">
            <wp:simplePos x="0" y="0"/>
            <wp:positionH relativeFrom="margin">
              <wp:posOffset>1543050</wp:posOffset>
            </wp:positionH>
            <wp:positionV relativeFrom="paragraph">
              <wp:posOffset>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7"/>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183FA36B" w14:textId="77777777" w:rsidR="00AE3CDA" w:rsidRDefault="00AE3CDA" w:rsidP="00AE3CDA">
      <w:pPr>
        <w:jc w:val="center"/>
        <w:rPr>
          <w:b/>
          <w:sz w:val="40"/>
          <w:szCs w:val="40"/>
        </w:rPr>
      </w:pPr>
      <w:bookmarkStart w:id="0" w:name="h.gjdgxs" w:colFirst="0" w:colLast="0"/>
      <w:bookmarkEnd w:id="0"/>
    </w:p>
    <w:p w14:paraId="5C6CFA17" w14:textId="77777777" w:rsidR="00AE3CDA" w:rsidRDefault="00AE3CDA" w:rsidP="00AE3CDA">
      <w:pPr>
        <w:spacing w:before="100" w:beforeAutospacing="1" w:after="100" w:afterAutospacing="1"/>
        <w:rPr>
          <w:b/>
          <w:sz w:val="40"/>
          <w:szCs w:val="40"/>
        </w:rPr>
      </w:pPr>
    </w:p>
    <w:p w14:paraId="5BC3235D" w14:textId="77777777" w:rsidR="00AE3CDA" w:rsidRPr="00BE0B01" w:rsidRDefault="00AE3CDA" w:rsidP="00AE3CDA">
      <w:pPr>
        <w:rPr>
          <w:rFonts w:ascii="Times New Roman" w:hAnsi="Times New Roman" w:cs="Times New Roman"/>
          <w:bCs/>
          <w:sz w:val="20"/>
          <w:szCs w:val="20"/>
        </w:rPr>
      </w:pPr>
      <w:r>
        <w:rPr>
          <w:rFonts w:ascii="Times New Roman" w:hAnsi="Times New Roman" w:cs="Times New Roman"/>
          <w:bCs/>
          <w:sz w:val="20"/>
          <w:szCs w:val="20"/>
        </w:rPr>
        <w:t>March 12</w:t>
      </w:r>
      <w:r w:rsidRPr="00BE0B01">
        <w:rPr>
          <w:rFonts w:ascii="Times New Roman" w:hAnsi="Times New Roman" w:cs="Times New Roman"/>
          <w:bCs/>
          <w:sz w:val="20"/>
          <w:szCs w:val="20"/>
        </w:rPr>
        <w:t>, 202</w:t>
      </w:r>
      <w:r>
        <w:rPr>
          <w:rFonts w:ascii="Times New Roman" w:hAnsi="Times New Roman" w:cs="Times New Roman"/>
          <w:bCs/>
          <w:sz w:val="20"/>
          <w:szCs w:val="20"/>
        </w:rPr>
        <w:t>1</w:t>
      </w:r>
    </w:p>
    <w:p w14:paraId="68308CE9" w14:textId="77777777" w:rsidR="00AE3CDA" w:rsidRPr="00BE0B01" w:rsidRDefault="00AE3CDA" w:rsidP="00AE3CDA">
      <w:pPr>
        <w:rPr>
          <w:rFonts w:ascii="Times New Roman" w:hAnsi="Times New Roman" w:cs="Times New Roman"/>
          <w:bCs/>
          <w:sz w:val="20"/>
          <w:szCs w:val="20"/>
        </w:rPr>
      </w:pPr>
    </w:p>
    <w:p w14:paraId="299AB697" w14:textId="77777777" w:rsidR="00AE3CDA" w:rsidRPr="00BE0B01" w:rsidRDefault="00AE3CDA" w:rsidP="00AE3CDA">
      <w:pPr>
        <w:rPr>
          <w:rFonts w:ascii="Times New Roman" w:hAnsi="Times New Roman" w:cs="Times New Roman"/>
          <w:b/>
        </w:rPr>
      </w:pPr>
      <w:r w:rsidRPr="00BE0B01">
        <w:rPr>
          <w:rFonts w:ascii="Times New Roman" w:hAnsi="Times New Roman" w:cs="Times New Roman"/>
          <w:b/>
        </w:rPr>
        <w:t xml:space="preserve">Re: </w:t>
      </w:r>
      <w:r>
        <w:rPr>
          <w:rFonts w:ascii="Times New Roman" w:hAnsi="Times New Roman" w:cs="Times New Roman"/>
          <w:b/>
        </w:rPr>
        <w:t>NCPC Comments and Questions: ASAM Training Requirements</w:t>
      </w:r>
    </w:p>
    <w:p w14:paraId="2F5B8092" w14:textId="77777777" w:rsidR="00AE3CDA" w:rsidRPr="00BE0B01" w:rsidRDefault="00AE3CDA" w:rsidP="00AE3CDA">
      <w:pPr>
        <w:rPr>
          <w:rFonts w:ascii="Times New Roman" w:hAnsi="Times New Roman" w:cs="Times New Roman"/>
          <w:bCs/>
        </w:rPr>
      </w:pPr>
    </w:p>
    <w:p w14:paraId="64601FFA" w14:textId="5074DC5F" w:rsidR="00AE3CDA" w:rsidRPr="00BE0B01" w:rsidRDefault="00536044" w:rsidP="00AE3CDA">
      <w:pPr>
        <w:rPr>
          <w:rFonts w:ascii="Times New Roman" w:hAnsi="Times New Roman" w:cs="Times New Roman"/>
          <w:bCs/>
        </w:rPr>
      </w:pPr>
      <w:r>
        <w:rPr>
          <w:rFonts w:ascii="Times New Roman" w:hAnsi="Times New Roman" w:cs="Times New Roman"/>
          <w:bCs/>
        </w:rPr>
        <w:t>Mr. Anthony</w:t>
      </w:r>
      <w:r w:rsidR="00AE3CDA" w:rsidRPr="00BE0B01">
        <w:rPr>
          <w:rFonts w:ascii="Times New Roman" w:hAnsi="Times New Roman" w:cs="Times New Roman"/>
          <w:bCs/>
        </w:rPr>
        <w:t>,</w:t>
      </w:r>
    </w:p>
    <w:p w14:paraId="56B7A9D6" w14:textId="77777777" w:rsidR="00AE3CDA" w:rsidRDefault="00AE3CDA" w:rsidP="00AE3CDA">
      <w:pPr>
        <w:rPr>
          <w:rFonts w:ascii="Times New Roman" w:hAnsi="Times New Roman" w:cs="Times New Roman"/>
          <w:bCs/>
        </w:rPr>
      </w:pPr>
    </w:p>
    <w:p w14:paraId="5EFB65C9" w14:textId="77777777" w:rsidR="00AE3CDA" w:rsidRDefault="00AE3CDA" w:rsidP="00AE3CDA">
      <w:pPr>
        <w:rPr>
          <w:rFonts w:ascii="Times New Roman" w:hAnsi="Times New Roman" w:cs="Times New Roman"/>
          <w:bCs/>
        </w:rPr>
      </w:pPr>
      <w:r w:rsidRPr="00024158">
        <w:rPr>
          <w:rFonts w:ascii="Times New Roman" w:hAnsi="Times New Roman" w:cs="Times New Roman"/>
          <w:bCs/>
        </w:rPr>
        <w:t>As part of the Substance Use (SU) Demonstration Waiver, it is the understanding of providers that all licensed clinicians will be required to have a specific ASAM training in order to complete and bill Comprehensive Clinical Assessments (CCA). </w:t>
      </w:r>
    </w:p>
    <w:p w14:paraId="6D7CB133" w14:textId="77777777" w:rsidR="00AE3CDA" w:rsidRDefault="00AE3CDA" w:rsidP="00AE3CDA">
      <w:pPr>
        <w:rPr>
          <w:rFonts w:ascii="Times New Roman" w:hAnsi="Times New Roman" w:cs="Times New Roman"/>
          <w:bCs/>
        </w:rPr>
      </w:pPr>
    </w:p>
    <w:p w14:paraId="63A6E1EB" w14:textId="77777777" w:rsidR="00AE3CDA" w:rsidRDefault="00AE3CDA" w:rsidP="00AE3CDA">
      <w:pPr>
        <w:rPr>
          <w:rFonts w:ascii="Times New Roman" w:hAnsi="Times New Roman" w:cs="Times New Roman"/>
          <w:bCs/>
        </w:rPr>
      </w:pPr>
      <w:r>
        <w:rPr>
          <w:rFonts w:ascii="Times New Roman" w:hAnsi="Times New Roman" w:cs="Times New Roman"/>
          <w:bCs/>
        </w:rPr>
        <w:t>P</w:t>
      </w:r>
      <w:r w:rsidRPr="00024158">
        <w:rPr>
          <w:rFonts w:ascii="Times New Roman" w:hAnsi="Times New Roman" w:cs="Times New Roman"/>
          <w:bCs/>
        </w:rPr>
        <w:t>roviders</w:t>
      </w:r>
      <w:r>
        <w:rPr>
          <w:rFonts w:ascii="Times New Roman" w:hAnsi="Times New Roman" w:cs="Times New Roman"/>
          <w:bCs/>
        </w:rPr>
        <w:t xml:space="preserve"> across the state</w:t>
      </w:r>
      <w:r w:rsidRPr="00024158">
        <w:rPr>
          <w:rFonts w:ascii="Times New Roman" w:hAnsi="Times New Roman" w:cs="Times New Roman"/>
          <w:bCs/>
        </w:rPr>
        <w:t xml:space="preserve"> are lacking in significant </w:t>
      </w:r>
      <w:r w:rsidRPr="00024158">
        <w:rPr>
          <w:rFonts w:ascii="Times New Roman" w:hAnsi="Times New Roman" w:cs="Times New Roman"/>
          <w:b/>
          <w:bCs/>
          <w:i/>
        </w:rPr>
        <w:t>clarity</w:t>
      </w:r>
      <w:r w:rsidRPr="00024158">
        <w:rPr>
          <w:rFonts w:ascii="Times New Roman" w:hAnsi="Times New Roman" w:cs="Times New Roman"/>
          <w:bCs/>
        </w:rPr>
        <w:t>.</w:t>
      </w:r>
    </w:p>
    <w:p w14:paraId="1435DFE5" w14:textId="77777777" w:rsidR="00AE3CDA" w:rsidRDefault="00AE3CDA" w:rsidP="00AE3CDA">
      <w:pPr>
        <w:rPr>
          <w:rFonts w:ascii="Times New Roman" w:hAnsi="Times New Roman" w:cs="Times New Roman"/>
          <w:bCs/>
        </w:rPr>
      </w:pPr>
    </w:p>
    <w:p w14:paraId="71DB20C4" w14:textId="77777777" w:rsidR="00AE3CDA" w:rsidRDefault="00AE3CDA" w:rsidP="00AE3CDA">
      <w:pPr>
        <w:rPr>
          <w:rFonts w:ascii="Times New Roman" w:hAnsi="Times New Roman" w:cs="Times New Roman"/>
          <w:bCs/>
        </w:rPr>
      </w:pPr>
      <w:r w:rsidRPr="00024158">
        <w:rPr>
          <w:rFonts w:ascii="Times New Roman" w:hAnsi="Times New Roman" w:cs="Times New Roman"/>
          <w:bCs/>
        </w:rPr>
        <w:t xml:space="preserve">Our understanding is that clinical coverage policy/service definitions will be edited to include this requirement.  Initially, some providers were under the impression that this new training requirement would be specific to SU clinicians.  But in fact, it seems that ALL licensed clinicians – anyone who completes a CCA for a Medicaid client – will be required to have completed this additional training.  </w:t>
      </w:r>
    </w:p>
    <w:p w14:paraId="7E84F177" w14:textId="77777777" w:rsidR="00AE3CDA" w:rsidRDefault="00AE3CDA" w:rsidP="00AE3CDA">
      <w:pPr>
        <w:rPr>
          <w:rFonts w:ascii="Times New Roman" w:hAnsi="Times New Roman" w:cs="Times New Roman"/>
          <w:bCs/>
        </w:rPr>
      </w:pPr>
    </w:p>
    <w:p w14:paraId="4D306295" w14:textId="77777777" w:rsidR="00AE3CDA" w:rsidRDefault="00AE3CDA" w:rsidP="00AE3CDA">
      <w:pPr>
        <w:rPr>
          <w:rFonts w:ascii="Times New Roman" w:hAnsi="Times New Roman" w:cs="Times New Roman"/>
          <w:bCs/>
        </w:rPr>
      </w:pPr>
      <w:r w:rsidRPr="00024158">
        <w:rPr>
          <w:rFonts w:ascii="Times New Roman" w:hAnsi="Times New Roman" w:cs="Times New Roman"/>
          <w:bCs/>
        </w:rPr>
        <w:t xml:space="preserve">Furthermore, there has been </w:t>
      </w:r>
      <w:r>
        <w:rPr>
          <w:rFonts w:ascii="Times New Roman" w:hAnsi="Times New Roman" w:cs="Times New Roman"/>
          <w:bCs/>
        </w:rPr>
        <w:t xml:space="preserve">conflicting </w:t>
      </w:r>
      <w:r w:rsidRPr="00024158">
        <w:rPr>
          <w:rFonts w:ascii="Times New Roman" w:hAnsi="Times New Roman" w:cs="Times New Roman"/>
          <w:bCs/>
        </w:rPr>
        <w:t>communication from LME/MCOs</w:t>
      </w:r>
      <w:r>
        <w:rPr>
          <w:rFonts w:ascii="Times New Roman" w:hAnsi="Times New Roman" w:cs="Times New Roman"/>
          <w:bCs/>
        </w:rPr>
        <w:t xml:space="preserve">.  Specifically, </w:t>
      </w:r>
      <w:r w:rsidRPr="00024158">
        <w:rPr>
          <w:rFonts w:ascii="Times New Roman" w:hAnsi="Times New Roman" w:cs="Times New Roman"/>
          <w:bCs/>
        </w:rPr>
        <w:t>that the certified ASAM training is not required, but that providers are required to assure staff are competent in completing ASAMs and recommending appropriate levels of treatment.  This communication is consistent with language in the SU Demonstration Waiver.</w:t>
      </w:r>
      <w:r>
        <w:rPr>
          <w:rFonts w:ascii="Times New Roman" w:hAnsi="Times New Roman" w:cs="Times New Roman"/>
          <w:bCs/>
        </w:rPr>
        <w:t xml:space="preserve">  </w:t>
      </w:r>
    </w:p>
    <w:p w14:paraId="5442CDD0" w14:textId="77777777" w:rsidR="00AE3CDA" w:rsidRDefault="00AE3CDA" w:rsidP="00AE3CDA">
      <w:pPr>
        <w:rPr>
          <w:rFonts w:ascii="Times New Roman" w:hAnsi="Times New Roman" w:cs="Times New Roman"/>
          <w:bCs/>
        </w:rPr>
      </w:pPr>
    </w:p>
    <w:p w14:paraId="21DE7CAE" w14:textId="77777777" w:rsidR="00AE3CDA" w:rsidRPr="00024158" w:rsidRDefault="00AE3CDA" w:rsidP="00AE3CDA">
      <w:pPr>
        <w:rPr>
          <w:rFonts w:ascii="Times New Roman" w:hAnsi="Times New Roman" w:cs="Times New Roman"/>
          <w:bCs/>
        </w:rPr>
      </w:pPr>
      <w:r>
        <w:rPr>
          <w:rFonts w:ascii="Times New Roman" w:hAnsi="Times New Roman" w:cs="Times New Roman"/>
          <w:bCs/>
        </w:rPr>
        <w:t>Implementation of this new requirement</w:t>
      </w:r>
      <w:r w:rsidRPr="00024158">
        <w:rPr>
          <w:rFonts w:ascii="Times New Roman" w:hAnsi="Times New Roman" w:cs="Times New Roman"/>
          <w:bCs/>
        </w:rPr>
        <w:t xml:space="preserve"> </w:t>
      </w:r>
      <w:r>
        <w:rPr>
          <w:rFonts w:ascii="Times New Roman" w:hAnsi="Times New Roman" w:cs="Times New Roman"/>
          <w:bCs/>
        </w:rPr>
        <w:t xml:space="preserve">will be </w:t>
      </w:r>
      <w:r w:rsidRPr="00024158">
        <w:rPr>
          <w:rFonts w:ascii="Times New Roman" w:hAnsi="Times New Roman" w:cs="Times New Roman"/>
          <w:bCs/>
        </w:rPr>
        <w:t>problematic in a variety of ways….</w:t>
      </w:r>
    </w:p>
    <w:p w14:paraId="6F61EA10" w14:textId="77777777" w:rsidR="00AE3CDA" w:rsidRPr="00024158" w:rsidRDefault="00AE3CDA" w:rsidP="00AE3CDA">
      <w:pPr>
        <w:rPr>
          <w:rFonts w:ascii="Times New Roman" w:hAnsi="Times New Roman" w:cs="Times New Roman"/>
          <w:bCs/>
        </w:rPr>
      </w:pPr>
    </w:p>
    <w:p w14:paraId="1A5D5343" w14:textId="77777777" w:rsidR="00AE3CDA" w:rsidRPr="00024158" w:rsidRDefault="00AE3CDA" w:rsidP="00AE3CDA">
      <w:pPr>
        <w:rPr>
          <w:rFonts w:ascii="Times New Roman" w:hAnsi="Times New Roman" w:cs="Times New Roman"/>
          <w:bCs/>
        </w:rPr>
      </w:pPr>
      <w:r w:rsidRPr="00024158">
        <w:rPr>
          <w:rFonts w:ascii="Times New Roman" w:hAnsi="Times New Roman" w:cs="Times New Roman"/>
          <w:bCs/>
        </w:rPr>
        <w:t xml:space="preserve">Initially, there is considerable financial burden associated with simply obtaining the training license and material.  In addition, Providers are responsible for funding the time required in order to train our staff.  And a third hit, we will not be able to bill for the time that our staff is receiving training – which becomes time lost and therefore an </w:t>
      </w:r>
      <w:r w:rsidRPr="00024158">
        <w:rPr>
          <w:rFonts w:ascii="Times New Roman" w:hAnsi="Times New Roman" w:cs="Times New Roman"/>
          <w:b/>
          <w:bCs/>
          <w:i/>
        </w:rPr>
        <w:t>access to care</w:t>
      </w:r>
      <w:r w:rsidRPr="00024158">
        <w:rPr>
          <w:rFonts w:ascii="Times New Roman" w:hAnsi="Times New Roman" w:cs="Times New Roman"/>
          <w:bCs/>
        </w:rPr>
        <w:t xml:space="preserve"> issue.  In short, this is a three-fold unfunded mandate.</w:t>
      </w:r>
    </w:p>
    <w:p w14:paraId="094FF71A" w14:textId="77777777" w:rsidR="00AE3CDA" w:rsidRPr="00024158" w:rsidRDefault="00AE3CDA" w:rsidP="00AE3CDA">
      <w:pPr>
        <w:rPr>
          <w:rFonts w:ascii="Times New Roman" w:hAnsi="Times New Roman" w:cs="Times New Roman"/>
          <w:bCs/>
        </w:rPr>
      </w:pPr>
    </w:p>
    <w:p w14:paraId="5BC7580A" w14:textId="77777777" w:rsidR="00AE3CDA" w:rsidRPr="00024158" w:rsidRDefault="00AE3CDA" w:rsidP="00AE3CDA">
      <w:pPr>
        <w:rPr>
          <w:rFonts w:ascii="Times New Roman" w:hAnsi="Times New Roman" w:cs="Times New Roman"/>
          <w:bCs/>
        </w:rPr>
      </w:pPr>
      <w:r w:rsidRPr="00024158">
        <w:rPr>
          <w:rFonts w:ascii="Times New Roman" w:hAnsi="Times New Roman" w:cs="Times New Roman"/>
          <w:bCs/>
        </w:rPr>
        <w:t>The financial burden is delineated in the table below:</w:t>
      </w:r>
    </w:p>
    <w:p w14:paraId="09896F4C" w14:textId="77777777" w:rsidR="00AE3CDA" w:rsidRPr="00024158" w:rsidRDefault="00AE3CDA" w:rsidP="00AE3CDA">
      <w:pPr>
        <w:rPr>
          <w:rFonts w:ascii="Times New Roman" w:hAnsi="Times New Roman" w:cs="Times New Roman"/>
          <w:bCs/>
        </w:rPr>
      </w:pPr>
    </w:p>
    <w:tbl>
      <w:tblPr>
        <w:tblW w:w="9360" w:type="dxa"/>
        <w:tblLook w:val="04A0" w:firstRow="1" w:lastRow="0" w:firstColumn="1" w:lastColumn="0" w:noHBand="0" w:noVBand="1"/>
      </w:tblPr>
      <w:tblGrid>
        <w:gridCol w:w="2280"/>
        <w:gridCol w:w="1940"/>
        <w:gridCol w:w="1820"/>
        <w:gridCol w:w="920"/>
        <w:gridCol w:w="2400"/>
      </w:tblGrid>
      <w:tr w:rsidR="00AE3CDA" w:rsidRPr="00024158" w14:paraId="49DA5ABD" w14:textId="77777777" w:rsidTr="005968B8">
        <w:trPr>
          <w:trHeight w:val="960"/>
        </w:trPr>
        <w:tc>
          <w:tcPr>
            <w:tcW w:w="2280" w:type="dxa"/>
            <w:tcBorders>
              <w:top w:val="nil"/>
              <w:left w:val="nil"/>
              <w:bottom w:val="nil"/>
              <w:right w:val="nil"/>
            </w:tcBorders>
            <w:shd w:val="clear" w:color="auto" w:fill="auto"/>
            <w:vAlign w:val="bottom"/>
            <w:hideMark/>
          </w:tcPr>
          <w:p w14:paraId="787F6D27" w14:textId="77777777" w:rsidR="00AE3CDA" w:rsidRPr="00024158" w:rsidRDefault="00AE3CDA" w:rsidP="005968B8">
            <w:pPr>
              <w:rPr>
                <w:rFonts w:ascii="Times New Roman" w:hAnsi="Times New Roman" w:cs="Times New Roman"/>
                <w:bCs/>
              </w:rPr>
            </w:pPr>
          </w:p>
        </w:tc>
        <w:tc>
          <w:tcPr>
            <w:tcW w:w="1940" w:type="dxa"/>
            <w:tcBorders>
              <w:top w:val="nil"/>
              <w:left w:val="nil"/>
              <w:bottom w:val="nil"/>
              <w:right w:val="nil"/>
            </w:tcBorders>
            <w:shd w:val="clear" w:color="auto" w:fill="auto"/>
            <w:vAlign w:val="bottom"/>
            <w:hideMark/>
          </w:tcPr>
          <w:p w14:paraId="4B8B7A5C"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Per 1 Clinician - Reduced Training Rate</w:t>
            </w:r>
          </w:p>
        </w:tc>
        <w:tc>
          <w:tcPr>
            <w:tcW w:w="1820" w:type="dxa"/>
            <w:tcBorders>
              <w:top w:val="nil"/>
              <w:left w:val="nil"/>
              <w:bottom w:val="nil"/>
              <w:right w:val="nil"/>
            </w:tcBorders>
            <w:shd w:val="clear" w:color="auto" w:fill="auto"/>
            <w:vAlign w:val="bottom"/>
            <w:hideMark/>
          </w:tcPr>
          <w:p w14:paraId="40E20BBD"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Per 1 Clinician - Ongoing Training Rate</w:t>
            </w:r>
          </w:p>
        </w:tc>
        <w:tc>
          <w:tcPr>
            <w:tcW w:w="920" w:type="dxa"/>
            <w:tcBorders>
              <w:top w:val="nil"/>
              <w:left w:val="nil"/>
              <w:bottom w:val="nil"/>
              <w:right w:val="nil"/>
            </w:tcBorders>
          </w:tcPr>
          <w:p w14:paraId="3AE93637"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vAlign w:val="bottom"/>
            <w:hideMark/>
          </w:tcPr>
          <w:p w14:paraId="1FD1ACAE"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State Estimate Impact </w:t>
            </w:r>
          </w:p>
        </w:tc>
      </w:tr>
      <w:tr w:rsidR="00AE3CDA" w:rsidRPr="00024158" w14:paraId="610DE6E7" w14:textId="77777777" w:rsidTr="005968B8">
        <w:trPr>
          <w:trHeight w:val="300"/>
        </w:trPr>
        <w:tc>
          <w:tcPr>
            <w:tcW w:w="2280" w:type="dxa"/>
            <w:tcBorders>
              <w:top w:val="nil"/>
              <w:left w:val="nil"/>
              <w:bottom w:val="nil"/>
              <w:right w:val="nil"/>
            </w:tcBorders>
            <w:shd w:val="clear" w:color="auto" w:fill="auto"/>
            <w:noWrap/>
            <w:vAlign w:val="bottom"/>
            <w:hideMark/>
          </w:tcPr>
          <w:p w14:paraId="58D7E218"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Staff</w:t>
            </w:r>
          </w:p>
        </w:tc>
        <w:tc>
          <w:tcPr>
            <w:tcW w:w="1940" w:type="dxa"/>
            <w:tcBorders>
              <w:top w:val="nil"/>
              <w:left w:val="nil"/>
              <w:bottom w:val="nil"/>
              <w:right w:val="nil"/>
            </w:tcBorders>
            <w:shd w:val="clear" w:color="auto" w:fill="auto"/>
            <w:noWrap/>
            <w:vAlign w:val="bottom"/>
            <w:hideMark/>
          </w:tcPr>
          <w:p w14:paraId="6D099FF6"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1</w:t>
            </w:r>
          </w:p>
        </w:tc>
        <w:tc>
          <w:tcPr>
            <w:tcW w:w="1820" w:type="dxa"/>
            <w:tcBorders>
              <w:top w:val="nil"/>
              <w:left w:val="nil"/>
              <w:bottom w:val="nil"/>
              <w:right w:val="nil"/>
            </w:tcBorders>
            <w:shd w:val="clear" w:color="auto" w:fill="auto"/>
            <w:noWrap/>
            <w:vAlign w:val="bottom"/>
            <w:hideMark/>
          </w:tcPr>
          <w:p w14:paraId="254A9A21"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1</w:t>
            </w:r>
          </w:p>
        </w:tc>
        <w:tc>
          <w:tcPr>
            <w:tcW w:w="920" w:type="dxa"/>
            <w:tcBorders>
              <w:top w:val="nil"/>
              <w:left w:val="nil"/>
              <w:bottom w:val="nil"/>
              <w:right w:val="nil"/>
            </w:tcBorders>
          </w:tcPr>
          <w:p w14:paraId="3A079DE9"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5141B6C8"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5000</w:t>
            </w:r>
          </w:p>
        </w:tc>
      </w:tr>
      <w:tr w:rsidR="00AE3CDA" w:rsidRPr="00024158" w14:paraId="187DF115" w14:textId="77777777" w:rsidTr="005968B8">
        <w:trPr>
          <w:trHeight w:val="300"/>
        </w:trPr>
        <w:tc>
          <w:tcPr>
            <w:tcW w:w="2280" w:type="dxa"/>
            <w:tcBorders>
              <w:top w:val="nil"/>
              <w:left w:val="nil"/>
              <w:bottom w:val="single" w:sz="4" w:space="0" w:color="auto"/>
              <w:right w:val="nil"/>
            </w:tcBorders>
            <w:shd w:val="clear" w:color="auto" w:fill="auto"/>
            <w:noWrap/>
            <w:vAlign w:val="bottom"/>
            <w:hideMark/>
          </w:tcPr>
          <w:p w14:paraId="6D601A5C"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Training</w:t>
            </w:r>
          </w:p>
        </w:tc>
        <w:tc>
          <w:tcPr>
            <w:tcW w:w="1940" w:type="dxa"/>
            <w:tcBorders>
              <w:top w:val="nil"/>
              <w:left w:val="nil"/>
              <w:bottom w:val="single" w:sz="4" w:space="0" w:color="auto"/>
              <w:right w:val="nil"/>
            </w:tcBorders>
            <w:shd w:val="clear" w:color="auto" w:fill="auto"/>
            <w:noWrap/>
            <w:vAlign w:val="bottom"/>
            <w:hideMark/>
          </w:tcPr>
          <w:p w14:paraId="1AE03196"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75</w:t>
            </w:r>
          </w:p>
        </w:tc>
        <w:tc>
          <w:tcPr>
            <w:tcW w:w="1820" w:type="dxa"/>
            <w:tcBorders>
              <w:top w:val="nil"/>
              <w:left w:val="nil"/>
              <w:bottom w:val="single" w:sz="4" w:space="0" w:color="auto"/>
              <w:right w:val="nil"/>
            </w:tcBorders>
            <w:shd w:val="clear" w:color="auto" w:fill="auto"/>
            <w:noWrap/>
            <w:vAlign w:val="bottom"/>
            <w:hideMark/>
          </w:tcPr>
          <w:p w14:paraId="25DB0C34"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215</w:t>
            </w:r>
          </w:p>
        </w:tc>
        <w:tc>
          <w:tcPr>
            <w:tcW w:w="920" w:type="dxa"/>
            <w:tcBorders>
              <w:top w:val="nil"/>
              <w:left w:val="nil"/>
              <w:bottom w:val="single" w:sz="4" w:space="0" w:color="auto"/>
              <w:right w:val="nil"/>
            </w:tcBorders>
          </w:tcPr>
          <w:p w14:paraId="5F6FF005" w14:textId="77777777" w:rsidR="00AE3CDA" w:rsidRPr="00024158" w:rsidRDefault="00AE3CDA" w:rsidP="005968B8">
            <w:pPr>
              <w:rPr>
                <w:rFonts w:ascii="Times New Roman" w:hAnsi="Times New Roman" w:cs="Times New Roman"/>
                <w:bCs/>
              </w:rPr>
            </w:pPr>
          </w:p>
        </w:tc>
        <w:tc>
          <w:tcPr>
            <w:tcW w:w="2400" w:type="dxa"/>
            <w:tcBorders>
              <w:top w:val="nil"/>
              <w:left w:val="nil"/>
              <w:bottom w:val="single" w:sz="4" w:space="0" w:color="auto"/>
              <w:right w:val="nil"/>
            </w:tcBorders>
            <w:shd w:val="clear" w:color="auto" w:fill="auto"/>
            <w:noWrap/>
            <w:vAlign w:val="bottom"/>
            <w:hideMark/>
          </w:tcPr>
          <w:p w14:paraId="6457D471"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215</w:t>
            </w:r>
          </w:p>
        </w:tc>
      </w:tr>
      <w:tr w:rsidR="00AE3CDA" w:rsidRPr="00024158" w14:paraId="212FD51E" w14:textId="77777777" w:rsidTr="005968B8">
        <w:trPr>
          <w:trHeight w:val="300"/>
        </w:trPr>
        <w:tc>
          <w:tcPr>
            <w:tcW w:w="2280" w:type="dxa"/>
            <w:tcBorders>
              <w:top w:val="nil"/>
              <w:left w:val="nil"/>
              <w:bottom w:val="nil"/>
              <w:right w:val="nil"/>
            </w:tcBorders>
            <w:shd w:val="clear" w:color="auto" w:fill="auto"/>
            <w:noWrap/>
            <w:vAlign w:val="bottom"/>
            <w:hideMark/>
          </w:tcPr>
          <w:p w14:paraId="32967A09"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Training Cost</w:t>
            </w:r>
          </w:p>
        </w:tc>
        <w:tc>
          <w:tcPr>
            <w:tcW w:w="1940" w:type="dxa"/>
            <w:tcBorders>
              <w:top w:val="nil"/>
              <w:left w:val="nil"/>
              <w:bottom w:val="nil"/>
              <w:right w:val="nil"/>
            </w:tcBorders>
            <w:shd w:val="clear" w:color="auto" w:fill="auto"/>
            <w:noWrap/>
            <w:vAlign w:val="bottom"/>
            <w:hideMark/>
          </w:tcPr>
          <w:p w14:paraId="51D48914"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$75 </w:t>
            </w:r>
          </w:p>
        </w:tc>
        <w:tc>
          <w:tcPr>
            <w:tcW w:w="1820" w:type="dxa"/>
            <w:tcBorders>
              <w:top w:val="nil"/>
              <w:left w:val="nil"/>
              <w:bottom w:val="nil"/>
              <w:right w:val="nil"/>
            </w:tcBorders>
            <w:shd w:val="clear" w:color="auto" w:fill="auto"/>
            <w:noWrap/>
            <w:vAlign w:val="bottom"/>
            <w:hideMark/>
          </w:tcPr>
          <w:p w14:paraId="619BADFD"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$215 </w:t>
            </w:r>
          </w:p>
        </w:tc>
        <w:tc>
          <w:tcPr>
            <w:tcW w:w="920" w:type="dxa"/>
            <w:tcBorders>
              <w:top w:val="nil"/>
              <w:left w:val="nil"/>
              <w:bottom w:val="nil"/>
              <w:right w:val="nil"/>
            </w:tcBorders>
          </w:tcPr>
          <w:p w14:paraId="2C6EA811" w14:textId="77777777" w:rsidR="00AE3CDA" w:rsidRPr="00024158" w:rsidRDefault="00AE3CDA" w:rsidP="005968B8">
            <w:pPr>
              <w:rPr>
                <w:rFonts w:ascii="Times New Roman" w:hAnsi="Times New Roman" w:cs="Times New Roman"/>
                <w:b/>
                <w:bCs/>
              </w:rPr>
            </w:pPr>
          </w:p>
        </w:tc>
        <w:tc>
          <w:tcPr>
            <w:tcW w:w="2400" w:type="dxa"/>
            <w:tcBorders>
              <w:top w:val="nil"/>
              <w:left w:val="nil"/>
              <w:bottom w:val="nil"/>
              <w:right w:val="nil"/>
            </w:tcBorders>
            <w:shd w:val="clear" w:color="auto" w:fill="auto"/>
            <w:noWrap/>
            <w:vAlign w:val="bottom"/>
            <w:hideMark/>
          </w:tcPr>
          <w:p w14:paraId="2C324FE5"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$1,075,000 </w:t>
            </w:r>
          </w:p>
        </w:tc>
      </w:tr>
      <w:tr w:rsidR="00AE3CDA" w:rsidRPr="00024158" w14:paraId="5168E4B8" w14:textId="77777777" w:rsidTr="005968B8">
        <w:trPr>
          <w:trHeight w:val="300"/>
        </w:trPr>
        <w:tc>
          <w:tcPr>
            <w:tcW w:w="2280" w:type="dxa"/>
            <w:tcBorders>
              <w:top w:val="nil"/>
              <w:left w:val="nil"/>
              <w:bottom w:val="nil"/>
              <w:right w:val="nil"/>
            </w:tcBorders>
            <w:shd w:val="clear" w:color="auto" w:fill="auto"/>
            <w:noWrap/>
            <w:vAlign w:val="bottom"/>
            <w:hideMark/>
          </w:tcPr>
          <w:p w14:paraId="430F99F8" w14:textId="77777777" w:rsidR="00AE3CDA" w:rsidRPr="00024158" w:rsidRDefault="00AE3CDA" w:rsidP="005968B8">
            <w:pPr>
              <w:rPr>
                <w:rFonts w:ascii="Times New Roman" w:hAnsi="Times New Roman" w:cs="Times New Roman"/>
                <w:b/>
                <w:bCs/>
              </w:rPr>
            </w:pPr>
          </w:p>
        </w:tc>
        <w:tc>
          <w:tcPr>
            <w:tcW w:w="1940" w:type="dxa"/>
            <w:tcBorders>
              <w:top w:val="nil"/>
              <w:left w:val="nil"/>
              <w:bottom w:val="nil"/>
              <w:right w:val="nil"/>
            </w:tcBorders>
            <w:shd w:val="clear" w:color="auto" w:fill="auto"/>
            <w:noWrap/>
            <w:vAlign w:val="bottom"/>
            <w:hideMark/>
          </w:tcPr>
          <w:p w14:paraId="4892902A" w14:textId="77777777" w:rsidR="00AE3CDA" w:rsidRPr="00024158" w:rsidRDefault="00AE3CDA" w:rsidP="005968B8">
            <w:pPr>
              <w:rPr>
                <w:rFonts w:ascii="Times New Roman" w:hAnsi="Times New Roman" w:cs="Times New Roman"/>
                <w:bCs/>
              </w:rPr>
            </w:pPr>
          </w:p>
        </w:tc>
        <w:tc>
          <w:tcPr>
            <w:tcW w:w="1820" w:type="dxa"/>
            <w:tcBorders>
              <w:top w:val="nil"/>
              <w:left w:val="nil"/>
              <w:bottom w:val="nil"/>
              <w:right w:val="nil"/>
            </w:tcBorders>
            <w:shd w:val="clear" w:color="auto" w:fill="auto"/>
            <w:noWrap/>
            <w:vAlign w:val="bottom"/>
            <w:hideMark/>
          </w:tcPr>
          <w:p w14:paraId="39B189A1" w14:textId="77777777" w:rsidR="00AE3CDA" w:rsidRPr="00024158" w:rsidRDefault="00AE3CDA" w:rsidP="005968B8">
            <w:pPr>
              <w:rPr>
                <w:rFonts w:ascii="Times New Roman" w:hAnsi="Times New Roman" w:cs="Times New Roman"/>
                <w:bCs/>
              </w:rPr>
            </w:pPr>
          </w:p>
        </w:tc>
        <w:tc>
          <w:tcPr>
            <w:tcW w:w="920" w:type="dxa"/>
            <w:tcBorders>
              <w:top w:val="nil"/>
              <w:left w:val="nil"/>
              <w:bottom w:val="nil"/>
              <w:right w:val="nil"/>
            </w:tcBorders>
          </w:tcPr>
          <w:p w14:paraId="6AF9AE51"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07A1488C" w14:textId="77777777" w:rsidR="00AE3CDA" w:rsidRPr="00024158" w:rsidRDefault="00AE3CDA" w:rsidP="005968B8">
            <w:pPr>
              <w:rPr>
                <w:rFonts w:ascii="Times New Roman" w:hAnsi="Times New Roman" w:cs="Times New Roman"/>
                <w:bCs/>
              </w:rPr>
            </w:pPr>
          </w:p>
        </w:tc>
      </w:tr>
      <w:tr w:rsidR="00AE3CDA" w:rsidRPr="00024158" w14:paraId="7F76D42B" w14:textId="77777777" w:rsidTr="005968B8">
        <w:trPr>
          <w:trHeight w:val="300"/>
        </w:trPr>
        <w:tc>
          <w:tcPr>
            <w:tcW w:w="2280" w:type="dxa"/>
            <w:tcBorders>
              <w:top w:val="nil"/>
              <w:left w:val="nil"/>
              <w:bottom w:val="nil"/>
              <w:right w:val="nil"/>
            </w:tcBorders>
            <w:shd w:val="clear" w:color="auto" w:fill="auto"/>
            <w:noWrap/>
            <w:vAlign w:val="bottom"/>
            <w:hideMark/>
          </w:tcPr>
          <w:p w14:paraId="401B5A15"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Staff</w:t>
            </w:r>
          </w:p>
        </w:tc>
        <w:tc>
          <w:tcPr>
            <w:tcW w:w="1940" w:type="dxa"/>
            <w:tcBorders>
              <w:top w:val="nil"/>
              <w:left w:val="nil"/>
              <w:bottom w:val="nil"/>
              <w:right w:val="nil"/>
            </w:tcBorders>
            <w:shd w:val="clear" w:color="auto" w:fill="auto"/>
            <w:noWrap/>
            <w:vAlign w:val="bottom"/>
            <w:hideMark/>
          </w:tcPr>
          <w:p w14:paraId="745BBF67"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1</w:t>
            </w:r>
          </w:p>
        </w:tc>
        <w:tc>
          <w:tcPr>
            <w:tcW w:w="1820" w:type="dxa"/>
            <w:tcBorders>
              <w:top w:val="nil"/>
              <w:left w:val="nil"/>
              <w:bottom w:val="nil"/>
              <w:right w:val="nil"/>
            </w:tcBorders>
            <w:shd w:val="clear" w:color="auto" w:fill="auto"/>
            <w:noWrap/>
            <w:vAlign w:val="bottom"/>
            <w:hideMark/>
          </w:tcPr>
          <w:p w14:paraId="7ECAC235"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1</w:t>
            </w:r>
          </w:p>
        </w:tc>
        <w:tc>
          <w:tcPr>
            <w:tcW w:w="920" w:type="dxa"/>
            <w:tcBorders>
              <w:top w:val="nil"/>
              <w:left w:val="nil"/>
              <w:bottom w:val="nil"/>
              <w:right w:val="nil"/>
            </w:tcBorders>
          </w:tcPr>
          <w:p w14:paraId="43896BC2"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09F7B8BD"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5000</w:t>
            </w:r>
          </w:p>
        </w:tc>
      </w:tr>
      <w:tr w:rsidR="00AE3CDA" w:rsidRPr="00024158" w14:paraId="13F32C7E" w14:textId="77777777" w:rsidTr="005968B8">
        <w:trPr>
          <w:trHeight w:val="300"/>
        </w:trPr>
        <w:tc>
          <w:tcPr>
            <w:tcW w:w="2280" w:type="dxa"/>
            <w:tcBorders>
              <w:top w:val="nil"/>
              <w:left w:val="nil"/>
              <w:bottom w:val="nil"/>
              <w:right w:val="nil"/>
            </w:tcBorders>
            <w:shd w:val="clear" w:color="auto" w:fill="auto"/>
            <w:noWrap/>
            <w:vAlign w:val="bottom"/>
            <w:hideMark/>
          </w:tcPr>
          <w:p w14:paraId="0CB66797"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Avg Rate</w:t>
            </w:r>
          </w:p>
        </w:tc>
        <w:tc>
          <w:tcPr>
            <w:tcW w:w="1940" w:type="dxa"/>
            <w:tcBorders>
              <w:top w:val="nil"/>
              <w:left w:val="nil"/>
              <w:bottom w:val="nil"/>
              <w:right w:val="nil"/>
            </w:tcBorders>
            <w:shd w:val="clear" w:color="auto" w:fill="auto"/>
            <w:noWrap/>
            <w:vAlign w:val="bottom"/>
            <w:hideMark/>
          </w:tcPr>
          <w:p w14:paraId="4CB0C9F8"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$25 </w:t>
            </w:r>
          </w:p>
        </w:tc>
        <w:tc>
          <w:tcPr>
            <w:tcW w:w="1820" w:type="dxa"/>
            <w:tcBorders>
              <w:top w:val="nil"/>
              <w:left w:val="nil"/>
              <w:bottom w:val="nil"/>
              <w:right w:val="nil"/>
            </w:tcBorders>
            <w:shd w:val="clear" w:color="auto" w:fill="auto"/>
            <w:noWrap/>
            <w:vAlign w:val="bottom"/>
            <w:hideMark/>
          </w:tcPr>
          <w:p w14:paraId="35411F30"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$25 </w:t>
            </w:r>
          </w:p>
        </w:tc>
        <w:tc>
          <w:tcPr>
            <w:tcW w:w="920" w:type="dxa"/>
            <w:tcBorders>
              <w:top w:val="nil"/>
              <w:left w:val="nil"/>
              <w:bottom w:val="nil"/>
              <w:right w:val="nil"/>
            </w:tcBorders>
          </w:tcPr>
          <w:p w14:paraId="1E564417"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6E7EDD0D"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$25 </w:t>
            </w:r>
          </w:p>
        </w:tc>
      </w:tr>
      <w:tr w:rsidR="00AE3CDA" w:rsidRPr="00024158" w14:paraId="7B19157A" w14:textId="77777777" w:rsidTr="005968B8">
        <w:trPr>
          <w:trHeight w:val="300"/>
        </w:trPr>
        <w:tc>
          <w:tcPr>
            <w:tcW w:w="2280" w:type="dxa"/>
            <w:tcBorders>
              <w:top w:val="nil"/>
              <w:left w:val="nil"/>
              <w:bottom w:val="single" w:sz="4" w:space="0" w:color="auto"/>
              <w:right w:val="nil"/>
            </w:tcBorders>
            <w:shd w:val="clear" w:color="auto" w:fill="auto"/>
            <w:noWrap/>
            <w:vAlign w:val="bottom"/>
            <w:hideMark/>
          </w:tcPr>
          <w:p w14:paraId="72FE9F7C"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Hours</w:t>
            </w:r>
          </w:p>
        </w:tc>
        <w:tc>
          <w:tcPr>
            <w:tcW w:w="1940" w:type="dxa"/>
            <w:tcBorders>
              <w:top w:val="nil"/>
              <w:left w:val="nil"/>
              <w:bottom w:val="single" w:sz="4" w:space="0" w:color="auto"/>
              <w:right w:val="nil"/>
            </w:tcBorders>
            <w:shd w:val="clear" w:color="auto" w:fill="auto"/>
            <w:noWrap/>
            <w:vAlign w:val="bottom"/>
            <w:hideMark/>
          </w:tcPr>
          <w:p w14:paraId="2D393D5A"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16</w:t>
            </w:r>
          </w:p>
        </w:tc>
        <w:tc>
          <w:tcPr>
            <w:tcW w:w="1820" w:type="dxa"/>
            <w:tcBorders>
              <w:top w:val="nil"/>
              <w:left w:val="nil"/>
              <w:bottom w:val="single" w:sz="4" w:space="0" w:color="auto"/>
              <w:right w:val="nil"/>
            </w:tcBorders>
            <w:shd w:val="clear" w:color="auto" w:fill="auto"/>
            <w:noWrap/>
            <w:vAlign w:val="bottom"/>
            <w:hideMark/>
          </w:tcPr>
          <w:p w14:paraId="07F36F5B"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16</w:t>
            </w:r>
          </w:p>
        </w:tc>
        <w:tc>
          <w:tcPr>
            <w:tcW w:w="920" w:type="dxa"/>
            <w:tcBorders>
              <w:top w:val="nil"/>
              <w:left w:val="nil"/>
              <w:bottom w:val="single" w:sz="4" w:space="0" w:color="auto"/>
              <w:right w:val="nil"/>
            </w:tcBorders>
          </w:tcPr>
          <w:p w14:paraId="21039861" w14:textId="77777777" w:rsidR="00AE3CDA" w:rsidRPr="00024158" w:rsidRDefault="00AE3CDA" w:rsidP="005968B8">
            <w:pPr>
              <w:rPr>
                <w:rFonts w:ascii="Times New Roman" w:hAnsi="Times New Roman" w:cs="Times New Roman"/>
                <w:bCs/>
              </w:rPr>
            </w:pPr>
          </w:p>
        </w:tc>
        <w:tc>
          <w:tcPr>
            <w:tcW w:w="2400" w:type="dxa"/>
            <w:tcBorders>
              <w:top w:val="nil"/>
              <w:left w:val="nil"/>
              <w:bottom w:val="single" w:sz="4" w:space="0" w:color="auto"/>
              <w:right w:val="nil"/>
            </w:tcBorders>
            <w:shd w:val="clear" w:color="auto" w:fill="auto"/>
            <w:noWrap/>
            <w:vAlign w:val="bottom"/>
            <w:hideMark/>
          </w:tcPr>
          <w:p w14:paraId="21F97C0F"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16</w:t>
            </w:r>
          </w:p>
        </w:tc>
      </w:tr>
      <w:tr w:rsidR="00AE3CDA" w:rsidRPr="00024158" w14:paraId="6819172E" w14:textId="77777777" w:rsidTr="005968B8">
        <w:trPr>
          <w:trHeight w:val="300"/>
        </w:trPr>
        <w:tc>
          <w:tcPr>
            <w:tcW w:w="2280" w:type="dxa"/>
            <w:tcBorders>
              <w:top w:val="nil"/>
              <w:left w:val="nil"/>
              <w:bottom w:val="nil"/>
              <w:right w:val="nil"/>
            </w:tcBorders>
            <w:shd w:val="clear" w:color="auto" w:fill="auto"/>
            <w:noWrap/>
            <w:vAlign w:val="bottom"/>
            <w:hideMark/>
          </w:tcPr>
          <w:p w14:paraId="0C59D4D9"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Labor Cost</w:t>
            </w:r>
          </w:p>
        </w:tc>
        <w:tc>
          <w:tcPr>
            <w:tcW w:w="1940" w:type="dxa"/>
            <w:tcBorders>
              <w:top w:val="nil"/>
              <w:left w:val="nil"/>
              <w:bottom w:val="nil"/>
              <w:right w:val="nil"/>
            </w:tcBorders>
            <w:shd w:val="clear" w:color="auto" w:fill="auto"/>
            <w:noWrap/>
            <w:vAlign w:val="bottom"/>
            <w:hideMark/>
          </w:tcPr>
          <w:p w14:paraId="6D472F1E"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$393 </w:t>
            </w:r>
          </w:p>
        </w:tc>
        <w:tc>
          <w:tcPr>
            <w:tcW w:w="1820" w:type="dxa"/>
            <w:tcBorders>
              <w:top w:val="nil"/>
              <w:left w:val="nil"/>
              <w:bottom w:val="nil"/>
              <w:right w:val="nil"/>
            </w:tcBorders>
            <w:shd w:val="clear" w:color="auto" w:fill="auto"/>
            <w:noWrap/>
            <w:vAlign w:val="bottom"/>
            <w:hideMark/>
          </w:tcPr>
          <w:p w14:paraId="5EE78B22"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$393 </w:t>
            </w:r>
          </w:p>
        </w:tc>
        <w:tc>
          <w:tcPr>
            <w:tcW w:w="920" w:type="dxa"/>
            <w:tcBorders>
              <w:top w:val="nil"/>
              <w:left w:val="nil"/>
              <w:bottom w:val="nil"/>
              <w:right w:val="nil"/>
            </w:tcBorders>
          </w:tcPr>
          <w:p w14:paraId="73D16D4B" w14:textId="77777777" w:rsidR="00AE3CDA" w:rsidRPr="00024158" w:rsidRDefault="00AE3CDA" w:rsidP="005968B8">
            <w:pPr>
              <w:rPr>
                <w:rFonts w:ascii="Times New Roman" w:hAnsi="Times New Roman" w:cs="Times New Roman"/>
                <w:b/>
                <w:bCs/>
              </w:rPr>
            </w:pPr>
          </w:p>
        </w:tc>
        <w:tc>
          <w:tcPr>
            <w:tcW w:w="2400" w:type="dxa"/>
            <w:tcBorders>
              <w:top w:val="nil"/>
              <w:left w:val="nil"/>
              <w:bottom w:val="nil"/>
              <w:right w:val="nil"/>
            </w:tcBorders>
            <w:shd w:val="clear" w:color="auto" w:fill="auto"/>
            <w:noWrap/>
            <w:vAlign w:val="bottom"/>
            <w:hideMark/>
          </w:tcPr>
          <w:p w14:paraId="445ABD33"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$1,967,246 </w:t>
            </w:r>
          </w:p>
        </w:tc>
      </w:tr>
      <w:tr w:rsidR="00AE3CDA" w:rsidRPr="00024158" w14:paraId="48981F10" w14:textId="77777777" w:rsidTr="005968B8">
        <w:trPr>
          <w:trHeight w:val="300"/>
        </w:trPr>
        <w:tc>
          <w:tcPr>
            <w:tcW w:w="2280" w:type="dxa"/>
            <w:tcBorders>
              <w:top w:val="nil"/>
              <w:left w:val="nil"/>
              <w:bottom w:val="nil"/>
              <w:right w:val="nil"/>
            </w:tcBorders>
            <w:shd w:val="clear" w:color="auto" w:fill="auto"/>
            <w:noWrap/>
            <w:vAlign w:val="bottom"/>
            <w:hideMark/>
          </w:tcPr>
          <w:p w14:paraId="259B2EC2" w14:textId="77777777" w:rsidR="00AE3CDA" w:rsidRPr="00024158" w:rsidRDefault="00AE3CDA" w:rsidP="005968B8">
            <w:pPr>
              <w:rPr>
                <w:rFonts w:ascii="Times New Roman" w:hAnsi="Times New Roman" w:cs="Times New Roman"/>
                <w:b/>
                <w:bCs/>
              </w:rPr>
            </w:pPr>
          </w:p>
        </w:tc>
        <w:tc>
          <w:tcPr>
            <w:tcW w:w="1940" w:type="dxa"/>
            <w:tcBorders>
              <w:top w:val="nil"/>
              <w:left w:val="nil"/>
              <w:bottom w:val="nil"/>
              <w:right w:val="nil"/>
            </w:tcBorders>
            <w:shd w:val="clear" w:color="auto" w:fill="auto"/>
            <w:noWrap/>
            <w:vAlign w:val="bottom"/>
            <w:hideMark/>
          </w:tcPr>
          <w:p w14:paraId="4D5D834B" w14:textId="77777777" w:rsidR="00AE3CDA" w:rsidRPr="00024158" w:rsidRDefault="00AE3CDA" w:rsidP="005968B8">
            <w:pPr>
              <w:rPr>
                <w:rFonts w:ascii="Times New Roman" w:hAnsi="Times New Roman" w:cs="Times New Roman"/>
                <w:bCs/>
              </w:rPr>
            </w:pPr>
          </w:p>
        </w:tc>
        <w:tc>
          <w:tcPr>
            <w:tcW w:w="1820" w:type="dxa"/>
            <w:tcBorders>
              <w:top w:val="nil"/>
              <w:left w:val="nil"/>
              <w:bottom w:val="nil"/>
              <w:right w:val="nil"/>
            </w:tcBorders>
            <w:shd w:val="clear" w:color="auto" w:fill="auto"/>
            <w:noWrap/>
            <w:vAlign w:val="bottom"/>
            <w:hideMark/>
          </w:tcPr>
          <w:p w14:paraId="1782C4A4" w14:textId="77777777" w:rsidR="00AE3CDA" w:rsidRPr="00024158" w:rsidRDefault="00AE3CDA" w:rsidP="005968B8">
            <w:pPr>
              <w:rPr>
                <w:rFonts w:ascii="Times New Roman" w:hAnsi="Times New Roman" w:cs="Times New Roman"/>
                <w:bCs/>
              </w:rPr>
            </w:pPr>
          </w:p>
        </w:tc>
        <w:tc>
          <w:tcPr>
            <w:tcW w:w="920" w:type="dxa"/>
            <w:tcBorders>
              <w:top w:val="nil"/>
              <w:left w:val="nil"/>
              <w:bottom w:val="nil"/>
              <w:right w:val="nil"/>
            </w:tcBorders>
          </w:tcPr>
          <w:p w14:paraId="0EBE8CBE"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3F29FB3D" w14:textId="77777777" w:rsidR="00AE3CDA" w:rsidRPr="00024158" w:rsidRDefault="00AE3CDA" w:rsidP="005968B8">
            <w:pPr>
              <w:rPr>
                <w:rFonts w:ascii="Times New Roman" w:hAnsi="Times New Roman" w:cs="Times New Roman"/>
                <w:bCs/>
              </w:rPr>
            </w:pPr>
          </w:p>
        </w:tc>
      </w:tr>
      <w:tr w:rsidR="00AE3CDA" w:rsidRPr="00024158" w14:paraId="5B2BD084" w14:textId="77777777" w:rsidTr="005968B8">
        <w:trPr>
          <w:trHeight w:val="300"/>
        </w:trPr>
        <w:tc>
          <w:tcPr>
            <w:tcW w:w="2280" w:type="dxa"/>
            <w:tcBorders>
              <w:top w:val="nil"/>
              <w:left w:val="nil"/>
              <w:bottom w:val="nil"/>
              <w:right w:val="nil"/>
            </w:tcBorders>
            <w:shd w:val="clear" w:color="auto" w:fill="auto"/>
            <w:noWrap/>
            <w:vAlign w:val="bottom"/>
            <w:hideMark/>
          </w:tcPr>
          <w:p w14:paraId="0EEC82BB"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Fringe &amp; Benefits</w:t>
            </w:r>
          </w:p>
        </w:tc>
        <w:tc>
          <w:tcPr>
            <w:tcW w:w="1940" w:type="dxa"/>
            <w:tcBorders>
              <w:top w:val="nil"/>
              <w:left w:val="nil"/>
              <w:bottom w:val="nil"/>
              <w:right w:val="nil"/>
            </w:tcBorders>
            <w:shd w:val="clear" w:color="auto" w:fill="auto"/>
            <w:noWrap/>
            <w:vAlign w:val="bottom"/>
            <w:hideMark/>
          </w:tcPr>
          <w:p w14:paraId="225FF236"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$79 </w:t>
            </w:r>
          </w:p>
        </w:tc>
        <w:tc>
          <w:tcPr>
            <w:tcW w:w="1820" w:type="dxa"/>
            <w:tcBorders>
              <w:top w:val="nil"/>
              <w:left w:val="nil"/>
              <w:bottom w:val="nil"/>
              <w:right w:val="nil"/>
            </w:tcBorders>
            <w:shd w:val="clear" w:color="auto" w:fill="auto"/>
            <w:noWrap/>
            <w:vAlign w:val="bottom"/>
            <w:hideMark/>
          </w:tcPr>
          <w:p w14:paraId="55DBD6E2"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$79 </w:t>
            </w:r>
          </w:p>
        </w:tc>
        <w:tc>
          <w:tcPr>
            <w:tcW w:w="920" w:type="dxa"/>
            <w:tcBorders>
              <w:top w:val="nil"/>
              <w:left w:val="nil"/>
              <w:bottom w:val="nil"/>
              <w:right w:val="nil"/>
            </w:tcBorders>
          </w:tcPr>
          <w:p w14:paraId="6DCF9110"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4EFD0168"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$393,449 </w:t>
            </w:r>
          </w:p>
        </w:tc>
      </w:tr>
      <w:tr w:rsidR="00AE3CDA" w:rsidRPr="00024158" w14:paraId="2C2D3BCE" w14:textId="77777777" w:rsidTr="005968B8">
        <w:trPr>
          <w:trHeight w:val="300"/>
        </w:trPr>
        <w:tc>
          <w:tcPr>
            <w:tcW w:w="2280" w:type="dxa"/>
            <w:tcBorders>
              <w:top w:val="nil"/>
              <w:left w:val="nil"/>
              <w:bottom w:val="nil"/>
              <w:right w:val="nil"/>
            </w:tcBorders>
            <w:shd w:val="clear" w:color="auto" w:fill="auto"/>
            <w:noWrap/>
            <w:vAlign w:val="bottom"/>
            <w:hideMark/>
          </w:tcPr>
          <w:p w14:paraId="3AEB3AB6"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Annual TO Expense</w:t>
            </w:r>
          </w:p>
        </w:tc>
        <w:tc>
          <w:tcPr>
            <w:tcW w:w="1940" w:type="dxa"/>
            <w:tcBorders>
              <w:top w:val="nil"/>
              <w:left w:val="nil"/>
              <w:bottom w:val="nil"/>
              <w:right w:val="nil"/>
            </w:tcBorders>
            <w:shd w:val="clear" w:color="auto" w:fill="auto"/>
            <w:noWrap/>
            <w:vAlign w:val="bottom"/>
            <w:hideMark/>
          </w:tcPr>
          <w:p w14:paraId="6D381B07"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$153 </w:t>
            </w:r>
          </w:p>
        </w:tc>
        <w:tc>
          <w:tcPr>
            <w:tcW w:w="1820" w:type="dxa"/>
            <w:tcBorders>
              <w:top w:val="nil"/>
              <w:left w:val="nil"/>
              <w:bottom w:val="nil"/>
              <w:right w:val="nil"/>
            </w:tcBorders>
            <w:shd w:val="clear" w:color="auto" w:fill="auto"/>
            <w:noWrap/>
            <w:vAlign w:val="bottom"/>
            <w:hideMark/>
          </w:tcPr>
          <w:p w14:paraId="1C71BD41"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$192 </w:t>
            </w:r>
          </w:p>
        </w:tc>
        <w:tc>
          <w:tcPr>
            <w:tcW w:w="920" w:type="dxa"/>
            <w:tcBorders>
              <w:top w:val="nil"/>
              <w:left w:val="nil"/>
              <w:bottom w:val="nil"/>
              <w:right w:val="nil"/>
            </w:tcBorders>
          </w:tcPr>
          <w:p w14:paraId="527614B2"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1704BF57"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$961,995 </w:t>
            </w:r>
          </w:p>
        </w:tc>
      </w:tr>
      <w:tr w:rsidR="00AE3CDA" w:rsidRPr="00024158" w14:paraId="7132F371" w14:textId="77777777" w:rsidTr="005968B8">
        <w:trPr>
          <w:trHeight w:val="300"/>
        </w:trPr>
        <w:tc>
          <w:tcPr>
            <w:tcW w:w="2280" w:type="dxa"/>
            <w:tcBorders>
              <w:top w:val="nil"/>
              <w:left w:val="nil"/>
              <w:bottom w:val="nil"/>
              <w:right w:val="nil"/>
            </w:tcBorders>
            <w:shd w:val="clear" w:color="auto" w:fill="auto"/>
            <w:noWrap/>
            <w:vAlign w:val="bottom"/>
            <w:hideMark/>
          </w:tcPr>
          <w:p w14:paraId="5E5C2773"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Productivity</w:t>
            </w:r>
          </w:p>
        </w:tc>
        <w:tc>
          <w:tcPr>
            <w:tcW w:w="1940" w:type="dxa"/>
            <w:tcBorders>
              <w:top w:val="nil"/>
              <w:left w:val="nil"/>
              <w:bottom w:val="nil"/>
              <w:right w:val="nil"/>
            </w:tcBorders>
            <w:shd w:val="clear" w:color="auto" w:fill="auto"/>
            <w:noWrap/>
            <w:vAlign w:val="bottom"/>
            <w:hideMark/>
          </w:tcPr>
          <w:p w14:paraId="106249E9"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$600 </w:t>
            </w:r>
          </w:p>
        </w:tc>
        <w:tc>
          <w:tcPr>
            <w:tcW w:w="1820" w:type="dxa"/>
            <w:tcBorders>
              <w:top w:val="nil"/>
              <w:left w:val="nil"/>
              <w:bottom w:val="nil"/>
              <w:right w:val="nil"/>
            </w:tcBorders>
            <w:shd w:val="clear" w:color="auto" w:fill="auto"/>
            <w:noWrap/>
            <w:vAlign w:val="bottom"/>
            <w:hideMark/>
          </w:tcPr>
          <w:p w14:paraId="25BA2F09"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$600 </w:t>
            </w:r>
          </w:p>
        </w:tc>
        <w:tc>
          <w:tcPr>
            <w:tcW w:w="920" w:type="dxa"/>
            <w:tcBorders>
              <w:top w:val="nil"/>
              <w:left w:val="nil"/>
              <w:bottom w:val="nil"/>
              <w:right w:val="nil"/>
            </w:tcBorders>
          </w:tcPr>
          <w:p w14:paraId="72AB395E" w14:textId="77777777" w:rsidR="00AE3CDA" w:rsidRPr="00024158" w:rsidRDefault="00AE3CDA" w:rsidP="005968B8">
            <w:pPr>
              <w:rPr>
                <w:rFonts w:ascii="Times New Roman" w:hAnsi="Times New Roman" w:cs="Times New Roman"/>
                <w:bCs/>
              </w:rPr>
            </w:pPr>
          </w:p>
        </w:tc>
        <w:tc>
          <w:tcPr>
            <w:tcW w:w="2400" w:type="dxa"/>
            <w:tcBorders>
              <w:top w:val="nil"/>
              <w:left w:val="nil"/>
              <w:bottom w:val="nil"/>
              <w:right w:val="nil"/>
            </w:tcBorders>
            <w:shd w:val="clear" w:color="auto" w:fill="auto"/>
            <w:noWrap/>
            <w:vAlign w:val="bottom"/>
            <w:hideMark/>
          </w:tcPr>
          <w:p w14:paraId="2DC4C7D5" w14:textId="77777777" w:rsidR="00AE3CDA" w:rsidRPr="00024158" w:rsidRDefault="00AE3CDA" w:rsidP="005968B8">
            <w:pPr>
              <w:rPr>
                <w:rFonts w:ascii="Times New Roman" w:hAnsi="Times New Roman" w:cs="Times New Roman"/>
                <w:bCs/>
              </w:rPr>
            </w:pPr>
            <w:r w:rsidRPr="00024158">
              <w:rPr>
                <w:rFonts w:ascii="Times New Roman" w:hAnsi="Times New Roman" w:cs="Times New Roman"/>
                <w:bCs/>
              </w:rPr>
              <w:t xml:space="preserve">$3,000,000 </w:t>
            </w:r>
          </w:p>
        </w:tc>
      </w:tr>
      <w:tr w:rsidR="00AE3CDA" w:rsidRPr="00024158" w14:paraId="32397103" w14:textId="77777777" w:rsidTr="005968B8">
        <w:trPr>
          <w:trHeight w:val="300"/>
        </w:trPr>
        <w:tc>
          <w:tcPr>
            <w:tcW w:w="2280" w:type="dxa"/>
            <w:tcBorders>
              <w:top w:val="nil"/>
              <w:left w:val="nil"/>
              <w:bottom w:val="nil"/>
              <w:right w:val="nil"/>
            </w:tcBorders>
            <w:shd w:val="clear" w:color="000000" w:fill="FFFF00"/>
            <w:noWrap/>
            <w:vAlign w:val="bottom"/>
            <w:hideMark/>
          </w:tcPr>
          <w:p w14:paraId="4AB237AD"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Total $ Impact</w:t>
            </w:r>
          </w:p>
        </w:tc>
        <w:tc>
          <w:tcPr>
            <w:tcW w:w="1940" w:type="dxa"/>
            <w:tcBorders>
              <w:top w:val="nil"/>
              <w:left w:val="nil"/>
              <w:bottom w:val="nil"/>
              <w:right w:val="nil"/>
            </w:tcBorders>
            <w:shd w:val="clear" w:color="000000" w:fill="FFFF00"/>
            <w:noWrap/>
            <w:vAlign w:val="bottom"/>
            <w:hideMark/>
          </w:tcPr>
          <w:p w14:paraId="320ECAFB"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$700 </w:t>
            </w:r>
          </w:p>
        </w:tc>
        <w:tc>
          <w:tcPr>
            <w:tcW w:w="1820" w:type="dxa"/>
            <w:tcBorders>
              <w:top w:val="nil"/>
              <w:left w:val="nil"/>
              <w:bottom w:val="nil"/>
              <w:right w:val="nil"/>
            </w:tcBorders>
            <w:shd w:val="clear" w:color="000000" w:fill="FFFF00"/>
            <w:noWrap/>
            <w:vAlign w:val="bottom"/>
            <w:hideMark/>
          </w:tcPr>
          <w:p w14:paraId="7C8DBE92"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$1,480 </w:t>
            </w:r>
          </w:p>
        </w:tc>
        <w:tc>
          <w:tcPr>
            <w:tcW w:w="920" w:type="dxa"/>
            <w:tcBorders>
              <w:top w:val="nil"/>
              <w:left w:val="nil"/>
              <w:bottom w:val="nil"/>
              <w:right w:val="nil"/>
            </w:tcBorders>
            <w:shd w:val="clear" w:color="000000" w:fill="FFFF00"/>
          </w:tcPr>
          <w:p w14:paraId="64D4DA80" w14:textId="77777777" w:rsidR="00AE3CDA" w:rsidRPr="00024158" w:rsidRDefault="00AE3CDA" w:rsidP="005968B8">
            <w:pPr>
              <w:rPr>
                <w:rFonts w:ascii="Times New Roman" w:hAnsi="Times New Roman" w:cs="Times New Roman"/>
                <w:b/>
                <w:bCs/>
              </w:rPr>
            </w:pPr>
          </w:p>
        </w:tc>
        <w:tc>
          <w:tcPr>
            <w:tcW w:w="2400" w:type="dxa"/>
            <w:tcBorders>
              <w:top w:val="nil"/>
              <w:left w:val="nil"/>
              <w:bottom w:val="nil"/>
              <w:right w:val="nil"/>
            </w:tcBorders>
            <w:shd w:val="clear" w:color="000000" w:fill="FFFF00"/>
            <w:noWrap/>
            <w:vAlign w:val="bottom"/>
            <w:hideMark/>
          </w:tcPr>
          <w:p w14:paraId="54CF5D41" w14:textId="77777777" w:rsidR="00AE3CDA" w:rsidRPr="00024158" w:rsidRDefault="00AE3CDA" w:rsidP="005968B8">
            <w:pPr>
              <w:rPr>
                <w:rFonts w:ascii="Times New Roman" w:hAnsi="Times New Roman" w:cs="Times New Roman"/>
                <w:b/>
                <w:bCs/>
              </w:rPr>
            </w:pPr>
            <w:r w:rsidRPr="00024158">
              <w:rPr>
                <w:rFonts w:ascii="Times New Roman" w:hAnsi="Times New Roman" w:cs="Times New Roman"/>
                <w:b/>
                <w:bCs/>
              </w:rPr>
              <w:t xml:space="preserve">$7,397,691 </w:t>
            </w:r>
          </w:p>
        </w:tc>
      </w:tr>
    </w:tbl>
    <w:p w14:paraId="60B1573B" w14:textId="77777777" w:rsidR="00AE3CDA" w:rsidRPr="00024158" w:rsidRDefault="00AE3CDA" w:rsidP="00AE3CDA">
      <w:pPr>
        <w:rPr>
          <w:rFonts w:ascii="Times New Roman" w:hAnsi="Times New Roman" w:cs="Times New Roman"/>
          <w:bCs/>
        </w:rPr>
      </w:pPr>
    </w:p>
    <w:p w14:paraId="0E6C55CB" w14:textId="77777777" w:rsidR="00AE3CDA" w:rsidRPr="00024158" w:rsidRDefault="00AE3CDA" w:rsidP="00AE3CDA">
      <w:pPr>
        <w:rPr>
          <w:rFonts w:ascii="Times New Roman" w:hAnsi="Times New Roman" w:cs="Times New Roman"/>
          <w:bCs/>
        </w:rPr>
      </w:pPr>
    </w:p>
    <w:p w14:paraId="6D23FAAD" w14:textId="77777777" w:rsidR="00AE3CDA" w:rsidRPr="00024158" w:rsidRDefault="00AE3CDA" w:rsidP="00AE3CDA">
      <w:pPr>
        <w:numPr>
          <w:ilvl w:val="0"/>
          <w:numId w:val="1"/>
        </w:numPr>
        <w:rPr>
          <w:rFonts w:ascii="Times New Roman" w:hAnsi="Times New Roman" w:cs="Times New Roman"/>
          <w:bCs/>
        </w:rPr>
      </w:pPr>
      <w:r w:rsidRPr="00024158">
        <w:rPr>
          <w:rFonts w:ascii="Times New Roman" w:hAnsi="Times New Roman" w:cs="Times New Roman"/>
          <w:bCs/>
        </w:rPr>
        <w:t>Another Example:</w:t>
      </w:r>
    </w:p>
    <w:p w14:paraId="1854A5F4" w14:textId="77777777" w:rsidR="00AE3CDA" w:rsidRPr="00024158" w:rsidRDefault="00AE3CDA" w:rsidP="00AE3CDA">
      <w:pPr>
        <w:numPr>
          <w:ilvl w:val="0"/>
          <w:numId w:val="1"/>
        </w:numPr>
        <w:rPr>
          <w:rFonts w:ascii="Times New Roman" w:hAnsi="Times New Roman" w:cs="Times New Roman"/>
          <w:bCs/>
        </w:rPr>
      </w:pPr>
      <w:r w:rsidRPr="00024158">
        <w:rPr>
          <w:rFonts w:ascii="Times New Roman" w:hAnsi="Times New Roman" w:cs="Times New Roman"/>
          <w:bCs/>
        </w:rPr>
        <w:t>Assuming $90/clinician for the required training</w:t>
      </w:r>
    </w:p>
    <w:p w14:paraId="026F32B9" w14:textId="2BD25379" w:rsidR="00AE3CDA" w:rsidRDefault="00AE3CDA" w:rsidP="00AE3CDA">
      <w:pPr>
        <w:numPr>
          <w:ilvl w:val="0"/>
          <w:numId w:val="1"/>
        </w:numPr>
        <w:rPr>
          <w:rFonts w:ascii="Times New Roman" w:hAnsi="Times New Roman" w:cs="Times New Roman"/>
          <w:bCs/>
        </w:rPr>
      </w:pPr>
      <w:r w:rsidRPr="00024158">
        <w:rPr>
          <w:rFonts w:ascii="Times New Roman" w:hAnsi="Times New Roman" w:cs="Times New Roman"/>
          <w:bCs/>
        </w:rPr>
        <w:t>Each clinician will lose 2 days of billing to complete the required training (- $500 per clinician)</w:t>
      </w:r>
    </w:p>
    <w:p w14:paraId="3ED9056D" w14:textId="0A63EA53" w:rsidR="00E054FF" w:rsidRPr="00E054FF" w:rsidRDefault="00E054FF" w:rsidP="00E054FF">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color w:val="000000"/>
        </w:rPr>
        <w:t>F</w:t>
      </w:r>
      <w:r w:rsidRPr="00E054FF">
        <w:rPr>
          <w:rFonts w:ascii="Times New Roman" w:eastAsia="Times New Roman" w:hAnsi="Times New Roman" w:cs="Times New Roman"/>
          <w:color w:val="000000"/>
        </w:rPr>
        <w:t>or PFS</w:t>
      </w:r>
      <w:r>
        <w:rPr>
          <w:rFonts w:ascii="Times New Roman" w:eastAsia="Times New Roman" w:hAnsi="Times New Roman" w:cs="Times New Roman"/>
          <w:color w:val="000000"/>
        </w:rPr>
        <w:t>,</w:t>
      </w:r>
      <w:r w:rsidRPr="00E054FF">
        <w:rPr>
          <w:rFonts w:ascii="Times New Roman" w:eastAsia="Times New Roman" w:hAnsi="Times New Roman" w:cs="Times New Roman"/>
          <w:color w:val="000000"/>
        </w:rPr>
        <w:t xml:space="preserve"> that provides mostly enhanced services, that dollar amount would be closer to $1,000</w:t>
      </w:r>
    </w:p>
    <w:p w14:paraId="7EF995B5" w14:textId="77777777" w:rsidR="00AE3CDA" w:rsidRPr="00024158" w:rsidRDefault="00AE3CDA" w:rsidP="00AE3CDA">
      <w:pPr>
        <w:numPr>
          <w:ilvl w:val="0"/>
          <w:numId w:val="1"/>
        </w:numPr>
        <w:rPr>
          <w:rFonts w:ascii="Times New Roman" w:hAnsi="Times New Roman" w:cs="Times New Roman"/>
          <w:bCs/>
        </w:rPr>
      </w:pPr>
      <w:r w:rsidRPr="00024158">
        <w:rPr>
          <w:rFonts w:ascii="Times New Roman" w:hAnsi="Times New Roman" w:cs="Times New Roman"/>
          <w:bCs/>
        </w:rPr>
        <w:t>Then let’s assume that a single agency employs 80 licensed folks</w:t>
      </w:r>
    </w:p>
    <w:p w14:paraId="47F12AEE" w14:textId="500611E6" w:rsidR="00AE3CDA" w:rsidRPr="001D5B2A" w:rsidRDefault="00AE3CDA" w:rsidP="00AE3CDA">
      <w:pPr>
        <w:numPr>
          <w:ilvl w:val="0"/>
          <w:numId w:val="1"/>
        </w:numPr>
        <w:rPr>
          <w:rFonts w:ascii="Times New Roman" w:hAnsi="Times New Roman" w:cs="Times New Roman"/>
          <w:b/>
        </w:rPr>
      </w:pPr>
      <w:r w:rsidRPr="00024158">
        <w:rPr>
          <w:rFonts w:ascii="Times New Roman" w:hAnsi="Times New Roman" w:cs="Times New Roman"/>
          <w:bCs/>
        </w:rPr>
        <w:t>That’s a cost to the agency of $47,200</w:t>
      </w:r>
      <w:r>
        <w:rPr>
          <w:rFonts w:ascii="Times New Roman" w:hAnsi="Times New Roman" w:cs="Times New Roman"/>
          <w:bCs/>
        </w:rPr>
        <w:t xml:space="preserve"> – </w:t>
      </w:r>
      <w:r w:rsidR="001D5B2A" w:rsidRPr="001D5B2A">
        <w:rPr>
          <w:rFonts w:ascii="Times New Roman" w:hAnsi="Times New Roman" w:cs="Times New Roman"/>
          <w:b/>
          <w:i/>
          <w:iCs/>
        </w:rPr>
        <w:t>Is this a</w:t>
      </w:r>
      <w:r w:rsidR="001D5B2A">
        <w:rPr>
          <w:rFonts w:ascii="Times New Roman" w:hAnsi="Times New Roman" w:cs="Times New Roman"/>
          <w:bCs/>
        </w:rPr>
        <w:t xml:space="preserve"> </w:t>
      </w:r>
      <w:r w:rsidRPr="001D5B2A">
        <w:rPr>
          <w:rFonts w:ascii="Times New Roman" w:hAnsi="Times New Roman" w:cs="Times New Roman"/>
          <w:b/>
          <w:i/>
          <w:iCs/>
        </w:rPr>
        <w:t>Recurring</w:t>
      </w:r>
      <w:r w:rsidR="001D5B2A">
        <w:rPr>
          <w:rFonts w:ascii="Times New Roman" w:hAnsi="Times New Roman" w:cs="Times New Roman"/>
          <w:b/>
          <w:i/>
          <w:iCs/>
        </w:rPr>
        <w:t xml:space="preserve"> cost</w:t>
      </w:r>
      <w:r w:rsidRPr="001D5B2A">
        <w:rPr>
          <w:rFonts w:ascii="Times New Roman" w:hAnsi="Times New Roman" w:cs="Times New Roman"/>
          <w:b/>
        </w:rPr>
        <w:t>?</w:t>
      </w:r>
    </w:p>
    <w:p w14:paraId="56C6ED29" w14:textId="77777777" w:rsidR="00E054FF" w:rsidRPr="00024158" w:rsidRDefault="00E054FF" w:rsidP="00E054FF">
      <w:pPr>
        <w:ind w:left="720"/>
        <w:rPr>
          <w:rFonts w:ascii="Times New Roman" w:hAnsi="Times New Roman" w:cs="Times New Roman"/>
          <w:bCs/>
        </w:rPr>
      </w:pPr>
    </w:p>
    <w:p w14:paraId="0A08C5B4" w14:textId="77777777" w:rsidR="00AE3CDA" w:rsidRDefault="00AE3CDA" w:rsidP="00AE3CDA">
      <w:pPr>
        <w:rPr>
          <w:rFonts w:ascii="Times New Roman" w:hAnsi="Times New Roman" w:cs="Times New Roman"/>
          <w:bCs/>
        </w:rPr>
      </w:pPr>
      <w:r w:rsidRPr="00024158">
        <w:rPr>
          <w:rFonts w:ascii="Times New Roman" w:hAnsi="Times New Roman" w:cs="Times New Roman"/>
          <w:bCs/>
        </w:rPr>
        <w:t xml:space="preserve"> </w:t>
      </w:r>
    </w:p>
    <w:p w14:paraId="0D954AAF" w14:textId="77777777" w:rsidR="00AE3CDA" w:rsidRPr="00024158" w:rsidRDefault="00AE3CDA" w:rsidP="00AE3CDA">
      <w:pPr>
        <w:rPr>
          <w:rFonts w:ascii="Times New Roman" w:hAnsi="Times New Roman" w:cs="Times New Roman"/>
          <w:bCs/>
        </w:rPr>
      </w:pPr>
    </w:p>
    <w:p w14:paraId="335EC935" w14:textId="77777777" w:rsidR="00AE3CDA" w:rsidRPr="00024158" w:rsidRDefault="00AE3CDA" w:rsidP="00AE3CDA">
      <w:pPr>
        <w:rPr>
          <w:rFonts w:ascii="Times New Roman" w:hAnsi="Times New Roman" w:cs="Times New Roman"/>
          <w:bCs/>
        </w:rPr>
      </w:pPr>
      <w:r w:rsidRPr="00024158">
        <w:rPr>
          <w:rFonts w:ascii="Times New Roman" w:hAnsi="Times New Roman" w:cs="Times New Roman"/>
          <w:bCs/>
        </w:rPr>
        <w:t>A discounted rate has been presented to Providers. While this effort is appreciated, the end result does not address the considerable financial burden in a way that makes this noble initiative any more realistic.  For instance, what happens after June?  Any staff hired after the June date will be required to be trained – without any discount or relief.  Creating an ongoing, additional financial burden for which providers are not receiving reimbursement of any kind.  This is a significant problem.</w:t>
      </w:r>
    </w:p>
    <w:p w14:paraId="5659C17B" w14:textId="77777777" w:rsidR="00AE3CDA" w:rsidRPr="00024158" w:rsidRDefault="00AE3CDA" w:rsidP="00AE3CDA">
      <w:pPr>
        <w:rPr>
          <w:rFonts w:ascii="Times New Roman" w:hAnsi="Times New Roman" w:cs="Times New Roman"/>
          <w:bCs/>
        </w:rPr>
      </w:pPr>
    </w:p>
    <w:p w14:paraId="4C60739C" w14:textId="77777777" w:rsidR="00AE3CDA" w:rsidRPr="005968B8" w:rsidRDefault="00AE3CDA" w:rsidP="00AE3CDA">
      <w:pPr>
        <w:rPr>
          <w:rFonts w:ascii="Times New Roman" w:hAnsi="Times New Roman" w:cs="Times New Roman"/>
          <w:bCs/>
          <w:i/>
          <w:iCs/>
        </w:rPr>
      </w:pPr>
      <w:r w:rsidRPr="005968B8">
        <w:rPr>
          <w:rFonts w:ascii="Times New Roman" w:hAnsi="Times New Roman" w:cs="Times New Roman"/>
          <w:bCs/>
          <w:i/>
          <w:iCs/>
        </w:rPr>
        <w:t xml:space="preserve">One potential solution: </w:t>
      </w:r>
    </w:p>
    <w:p w14:paraId="2B3FFF0A" w14:textId="77777777" w:rsidR="00AE3CDA" w:rsidRDefault="00AE3CDA" w:rsidP="00AE3CDA">
      <w:pPr>
        <w:rPr>
          <w:rFonts w:ascii="Times New Roman" w:hAnsi="Times New Roman" w:cs="Times New Roman"/>
          <w:bCs/>
        </w:rPr>
      </w:pPr>
    </w:p>
    <w:p w14:paraId="5127F487" w14:textId="77777777" w:rsidR="00AE3CDA" w:rsidRPr="00024158" w:rsidRDefault="00AE3CDA" w:rsidP="00AE3CDA">
      <w:pPr>
        <w:rPr>
          <w:rFonts w:ascii="Times New Roman" w:hAnsi="Times New Roman" w:cs="Times New Roman"/>
          <w:bCs/>
        </w:rPr>
      </w:pPr>
      <w:r>
        <w:rPr>
          <w:rFonts w:ascii="Times New Roman" w:hAnsi="Times New Roman" w:cs="Times New Roman"/>
          <w:bCs/>
        </w:rPr>
        <w:t>U</w:t>
      </w:r>
      <w:r w:rsidRPr="00024158">
        <w:rPr>
          <w:rFonts w:ascii="Times New Roman" w:hAnsi="Times New Roman" w:cs="Times New Roman"/>
          <w:bCs/>
        </w:rPr>
        <w:t>tilize the forthcoming influx of COVID funds - as well as the state’s considerable purchasing power, to obtain a statewide license for the ASAM training.  Should providers be given unencumbered access to ASAM training for a given time period - a year, for instance – the desired results become far more realistic.</w:t>
      </w:r>
    </w:p>
    <w:p w14:paraId="04DCCD57" w14:textId="77777777" w:rsidR="00AE3CDA" w:rsidRPr="00024158" w:rsidRDefault="00AE3CDA" w:rsidP="00AE3CDA">
      <w:pPr>
        <w:rPr>
          <w:rFonts w:ascii="Times New Roman" w:hAnsi="Times New Roman" w:cs="Times New Roman"/>
          <w:bCs/>
        </w:rPr>
      </w:pPr>
    </w:p>
    <w:p w14:paraId="25BE4478" w14:textId="77777777" w:rsidR="00AE3CDA" w:rsidRPr="00024158" w:rsidRDefault="00AE3CDA" w:rsidP="00AE3CDA">
      <w:pPr>
        <w:rPr>
          <w:rFonts w:ascii="Times New Roman" w:hAnsi="Times New Roman" w:cs="Times New Roman"/>
          <w:bCs/>
        </w:rPr>
      </w:pPr>
      <w:r w:rsidRPr="00024158">
        <w:rPr>
          <w:rFonts w:ascii="Times New Roman" w:hAnsi="Times New Roman" w:cs="Times New Roman"/>
          <w:bCs/>
        </w:rPr>
        <w:t>This appears to be an option according to ASAM documentation:</w:t>
      </w:r>
    </w:p>
    <w:p w14:paraId="0F557C79" w14:textId="77777777" w:rsidR="00AE3CDA" w:rsidRPr="00024158" w:rsidRDefault="00AE3CDA" w:rsidP="00AE3CDA">
      <w:pPr>
        <w:rPr>
          <w:rFonts w:ascii="Times New Roman" w:hAnsi="Times New Roman" w:cs="Times New Roman"/>
          <w:b/>
          <w:bCs/>
        </w:rPr>
      </w:pPr>
    </w:p>
    <w:p w14:paraId="5D94EF5E" w14:textId="77777777" w:rsidR="00AE3CDA" w:rsidRPr="00024158" w:rsidRDefault="00AE3CDA" w:rsidP="00AE3CDA">
      <w:pPr>
        <w:rPr>
          <w:rFonts w:ascii="Times New Roman" w:hAnsi="Times New Roman" w:cs="Times New Roman"/>
          <w:bCs/>
          <w:i/>
          <w:iCs/>
        </w:rPr>
      </w:pPr>
      <w:r w:rsidRPr="00024158">
        <w:rPr>
          <w:rFonts w:ascii="Times New Roman" w:hAnsi="Times New Roman" w:cs="Times New Roman"/>
          <w:bCs/>
          <w:i/>
          <w:iCs/>
        </w:rPr>
        <w:t xml:space="preserve">“In Spring 2019, The ASAM Criteria copyright and permissions process was updated to include agreements to enable public entities, providers, and other stakeholders to reference their use of The ASAM Criteria. The changes are part of a range of programs designed to support effective implementation of The ASAM Criteria and protect ASAM’s intellectual property from misuse. These programs include an ASAM Level of Care certification program delivered by CARF, a robust training program on The ASAM Criteria, and ongoing enhancements to the ASAM CONTINUUM software – a clinical decision support tool used to assist in treatment </w:t>
      </w:r>
      <w:r w:rsidRPr="00024158">
        <w:rPr>
          <w:rFonts w:ascii="Times New Roman" w:hAnsi="Times New Roman" w:cs="Times New Roman"/>
          <w:bCs/>
          <w:i/>
          <w:iCs/>
        </w:rPr>
        <w:lastRenderedPageBreak/>
        <w:t>planning for individuals with addiction. All of these initiatives have the end goals of protecting patients and preserving the credibility of providers accurately implementing the evidence-based standards found in The ASAM Criteria.”</w:t>
      </w:r>
    </w:p>
    <w:p w14:paraId="35AFD8F1" w14:textId="77777777" w:rsidR="00AE3CDA" w:rsidRPr="00024158" w:rsidRDefault="00B93F70" w:rsidP="00AE3CDA">
      <w:pPr>
        <w:rPr>
          <w:rFonts w:ascii="Times New Roman" w:hAnsi="Times New Roman" w:cs="Times New Roman"/>
          <w:bCs/>
        </w:rPr>
      </w:pPr>
      <w:hyperlink r:id="rId8" w:anchor="tab-product_tab_overview" w:history="1">
        <w:r w:rsidR="00AE3CDA" w:rsidRPr="00024158">
          <w:rPr>
            <w:rStyle w:val="Hyperlink"/>
            <w:rFonts w:ascii="Times New Roman" w:hAnsi="Times New Roman" w:cs="Times New Roman"/>
            <w:bCs/>
          </w:rPr>
          <w:t>https://elearning.asam.org/products/webinar-the-asam-criteria-copyright-and-permissions-process-for-states#tab-product_tab_overview</w:t>
        </w:r>
      </w:hyperlink>
    </w:p>
    <w:p w14:paraId="36226FB1" w14:textId="77777777" w:rsidR="00AE3CDA" w:rsidRPr="00024158" w:rsidRDefault="00AE3CDA" w:rsidP="00AE3CDA">
      <w:pPr>
        <w:rPr>
          <w:rFonts w:ascii="Times New Roman" w:hAnsi="Times New Roman" w:cs="Times New Roman"/>
          <w:bCs/>
        </w:rPr>
      </w:pPr>
      <w:r w:rsidRPr="00024158">
        <w:rPr>
          <w:rFonts w:ascii="Times New Roman" w:hAnsi="Times New Roman" w:cs="Times New Roman"/>
          <w:bCs/>
        </w:rPr>
        <w:t>ASAM Website</w:t>
      </w:r>
    </w:p>
    <w:p w14:paraId="6223A07B" w14:textId="77777777" w:rsidR="00AE3CDA" w:rsidRDefault="00AE3CDA" w:rsidP="00AE3CDA">
      <w:pPr>
        <w:rPr>
          <w:rFonts w:ascii="Times New Roman" w:hAnsi="Times New Roman" w:cs="Times New Roman"/>
          <w:bCs/>
        </w:rPr>
      </w:pPr>
    </w:p>
    <w:p w14:paraId="0BD07DF5" w14:textId="77777777" w:rsidR="00AE3CDA" w:rsidRPr="005968B8" w:rsidRDefault="00AE3CDA" w:rsidP="00AE3CDA">
      <w:pPr>
        <w:spacing w:after="150"/>
        <w:rPr>
          <w:rFonts w:ascii="Times New Roman" w:eastAsia="Times New Roman" w:hAnsi="Times New Roman" w:cs="Times New Roman"/>
          <w:b/>
          <w:bCs/>
          <w:color w:val="000000"/>
          <w:sz w:val="22"/>
          <w:szCs w:val="22"/>
          <w:u w:val="single"/>
        </w:rPr>
      </w:pPr>
      <w:r w:rsidRPr="005968B8">
        <w:rPr>
          <w:rFonts w:ascii="Times New Roman" w:eastAsia="Times New Roman" w:hAnsi="Times New Roman" w:cs="Times New Roman"/>
          <w:b/>
          <w:bCs/>
          <w:color w:val="000000"/>
          <w:sz w:val="22"/>
          <w:szCs w:val="22"/>
          <w:u w:val="single"/>
        </w:rPr>
        <w:t>Health Care Provisions of the American Rescue Act</w:t>
      </w:r>
    </w:p>
    <w:p w14:paraId="587CC95D" w14:textId="77777777" w:rsidR="00AE3CDA" w:rsidRPr="0047530B" w:rsidRDefault="00AE3CDA" w:rsidP="00AE3CDA">
      <w:pPr>
        <w:spacing w:after="150"/>
        <w:rPr>
          <w:rFonts w:ascii="Helvetica" w:eastAsia="Times New Roman" w:hAnsi="Helvetica" w:cs="Times New Roman"/>
          <w:color w:val="000000"/>
          <w:sz w:val="21"/>
          <w:szCs w:val="21"/>
        </w:rPr>
      </w:pPr>
      <w:r w:rsidRPr="0047530B">
        <w:rPr>
          <w:rFonts w:ascii="Helvetica" w:eastAsia="Times New Roman" w:hAnsi="Helvetica" w:cs="Times New Roman"/>
          <w:i/>
          <w:iCs/>
          <w:color w:val="000000"/>
          <w:sz w:val="21"/>
          <w:szCs w:val="21"/>
        </w:rPr>
        <w:t>Mental-health and substance-abuse funding</w:t>
      </w:r>
      <w:r w:rsidRPr="0047530B">
        <w:rPr>
          <w:rFonts w:ascii="Helvetica" w:eastAsia="Times New Roman" w:hAnsi="Helvetica" w:cs="Times New Roman"/>
          <w:color w:val="000000"/>
          <w:sz w:val="21"/>
          <w:szCs w:val="21"/>
        </w:rPr>
        <w:t>: The legislation provides substantial new funding for mental health and substance-abuse programs, including:</w:t>
      </w:r>
    </w:p>
    <w:p w14:paraId="4645D8D0" w14:textId="77777777" w:rsidR="00AE3CDA" w:rsidRPr="0047530B" w:rsidRDefault="00AE3CDA" w:rsidP="00AE3CDA">
      <w:pPr>
        <w:numPr>
          <w:ilvl w:val="0"/>
          <w:numId w:val="2"/>
        </w:numPr>
        <w:spacing w:before="100" w:beforeAutospacing="1" w:after="100" w:afterAutospacing="1"/>
        <w:rPr>
          <w:rFonts w:ascii="Helvetica" w:eastAsia="Times New Roman" w:hAnsi="Helvetica" w:cs="Times New Roman"/>
          <w:color w:val="000000"/>
          <w:sz w:val="21"/>
          <w:szCs w:val="21"/>
        </w:rPr>
      </w:pPr>
      <w:r w:rsidRPr="0047530B">
        <w:rPr>
          <w:rFonts w:ascii="Helvetica" w:eastAsia="Times New Roman" w:hAnsi="Helvetica" w:cs="Times New Roman"/>
          <w:color w:val="000000"/>
          <w:sz w:val="21"/>
          <w:szCs w:val="21"/>
        </w:rPr>
        <w:t xml:space="preserve">$3.5 billion for the Substance Abuse Prevention and Treatment and Community Mental Health block grant </w:t>
      </w:r>
      <w:proofErr w:type="gramStart"/>
      <w:r w:rsidRPr="0047530B">
        <w:rPr>
          <w:rFonts w:ascii="Helvetica" w:eastAsia="Times New Roman" w:hAnsi="Helvetica" w:cs="Times New Roman"/>
          <w:color w:val="000000"/>
          <w:sz w:val="21"/>
          <w:szCs w:val="21"/>
        </w:rPr>
        <w:t>programs;</w:t>
      </w:r>
      <w:proofErr w:type="gramEnd"/>
    </w:p>
    <w:p w14:paraId="009B9036" w14:textId="77777777" w:rsidR="00AE3CDA" w:rsidRPr="0047530B" w:rsidRDefault="00AE3CDA" w:rsidP="00AE3CDA">
      <w:pPr>
        <w:numPr>
          <w:ilvl w:val="0"/>
          <w:numId w:val="2"/>
        </w:numPr>
        <w:spacing w:before="100" w:beforeAutospacing="1" w:after="100" w:afterAutospacing="1"/>
        <w:rPr>
          <w:rFonts w:ascii="Helvetica" w:eastAsia="Times New Roman" w:hAnsi="Helvetica" w:cs="Times New Roman"/>
          <w:color w:val="000000"/>
          <w:sz w:val="21"/>
          <w:szCs w:val="21"/>
        </w:rPr>
      </w:pPr>
      <w:r w:rsidRPr="0047530B">
        <w:rPr>
          <w:rFonts w:ascii="Helvetica" w:eastAsia="Times New Roman" w:hAnsi="Helvetica" w:cs="Times New Roman"/>
          <w:color w:val="000000"/>
          <w:sz w:val="21"/>
          <w:szCs w:val="21"/>
        </w:rPr>
        <w:t xml:space="preserve">$80 million for mental and behavioral health training for health </w:t>
      </w:r>
      <w:proofErr w:type="gramStart"/>
      <w:r w:rsidRPr="0047530B">
        <w:rPr>
          <w:rFonts w:ascii="Helvetica" w:eastAsia="Times New Roman" w:hAnsi="Helvetica" w:cs="Times New Roman"/>
          <w:color w:val="000000"/>
          <w:sz w:val="21"/>
          <w:szCs w:val="21"/>
        </w:rPr>
        <w:t>professionals;</w:t>
      </w:r>
      <w:proofErr w:type="gramEnd"/>
    </w:p>
    <w:p w14:paraId="6AF829A0" w14:textId="77777777" w:rsidR="00AE3CDA" w:rsidRPr="0047530B" w:rsidRDefault="00AE3CDA" w:rsidP="00AE3CDA">
      <w:pPr>
        <w:numPr>
          <w:ilvl w:val="0"/>
          <w:numId w:val="2"/>
        </w:numPr>
        <w:spacing w:before="100" w:beforeAutospacing="1" w:after="100" w:afterAutospacing="1"/>
        <w:rPr>
          <w:rFonts w:ascii="Helvetica" w:eastAsia="Times New Roman" w:hAnsi="Helvetica" w:cs="Times New Roman"/>
          <w:color w:val="000000"/>
          <w:sz w:val="21"/>
          <w:szCs w:val="21"/>
        </w:rPr>
      </w:pPr>
      <w:r w:rsidRPr="0047530B">
        <w:rPr>
          <w:rFonts w:ascii="Helvetica" w:eastAsia="Times New Roman" w:hAnsi="Helvetica" w:cs="Times New Roman"/>
          <w:color w:val="000000"/>
          <w:sz w:val="21"/>
          <w:szCs w:val="21"/>
        </w:rPr>
        <w:t xml:space="preserve">$80 million to develop a new grant program for community-based and behavioral health organizations supporting mental-health and substance-use disorder </w:t>
      </w:r>
      <w:proofErr w:type="gramStart"/>
      <w:r w:rsidRPr="0047530B">
        <w:rPr>
          <w:rFonts w:ascii="Helvetica" w:eastAsia="Times New Roman" w:hAnsi="Helvetica" w:cs="Times New Roman"/>
          <w:color w:val="000000"/>
          <w:sz w:val="21"/>
          <w:szCs w:val="21"/>
        </w:rPr>
        <w:t>services;</w:t>
      </w:r>
      <w:proofErr w:type="gramEnd"/>
    </w:p>
    <w:p w14:paraId="4D61E04D" w14:textId="77777777" w:rsidR="00AE3CDA" w:rsidRPr="0047530B" w:rsidRDefault="00AE3CDA" w:rsidP="00AE3CDA">
      <w:pPr>
        <w:numPr>
          <w:ilvl w:val="0"/>
          <w:numId w:val="2"/>
        </w:numPr>
        <w:spacing w:before="100" w:beforeAutospacing="1" w:after="100" w:afterAutospacing="1"/>
        <w:rPr>
          <w:rFonts w:ascii="Helvetica" w:eastAsia="Times New Roman" w:hAnsi="Helvetica" w:cs="Times New Roman"/>
          <w:color w:val="000000"/>
          <w:sz w:val="21"/>
          <w:szCs w:val="21"/>
        </w:rPr>
      </w:pPr>
      <w:r w:rsidRPr="0047530B">
        <w:rPr>
          <w:rFonts w:ascii="Helvetica" w:eastAsia="Times New Roman" w:hAnsi="Helvetica" w:cs="Times New Roman"/>
          <w:color w:val="000000"/>
          <w:sz w:val="21"/>
          <w:szCs w:val="21"/>
        </w:rPr>
        <w:t xml:space="preserve">$10 million for the National Childhood Traumatic Stress </w:t>
      </w:r>
      <w:proofErr w:type="gramStart"/>
      <w:r w:rsidRPr="0047530B">
        <w:rPr>
          <w:rFonts w:ascii="Helvetica" w:eastAsia="Times New Roman" w:hAnsi="Helvetica" w:cs="Times New Roman"/>
          <w:color w:val="000000"/>
          <w:sz w:val="21"/>
          <w:szCs w:val="21"/>
        </w:rPr>
        <w:t>Network;</w:t>
      </w:r>
      <w:proofErr w:type="gramEnd"/>
    </w:p>
    <w:p w14:paraId="3EE6D50C" w14:textId="77777777" w:rsidR="00AE3CDA" w:rsidRPr="0047530B" w:rsidRDefault="00AE3CDA" w:rsidP="00AE3CDA">
      <w:pPr>
        <w:numPr>
          <w:ilvl w:val="0"/>
          <w:numId w:val="2"/>
        </w:numPr>
        <w:spacing w:before="100" w:beforeAutospacing="1" w:after="100" w:afterAutospacing="1"/>
        <w:rPr>
          <w:rFonts w:ascii="Helvetica" w:eastAsia="Times New Roman" w:hAnsi="Helvetica" w:cs="Times New Roman"/>
          <w:color w:val="000000"/>
          <w:sz w:val="21"/>
          <w:szCs w:val="21"/>
        </w:rPr>
      </w:pPr>
      <w:r w:rsidRPr="0047530B">
        <w:rPr>
          <w:rFonts w:ascii="Helvetica" w:eastAsia="Times New Roman" w:hAnsi="Helvetica" w:cs="Times New Roman"/>
          <w:color w:val="000000"/>
          <w:sz w:val="21"/>
          <w:szCs w:val="21"/>
        </w:rPr>
        <w:t>$50 million for existing youth mental health services and suicide prevention programs; and</w:t>
      </w:r>
    </w:p>
    <w:p w14:paraId="3887F67D" w14:textId="77777777" w:rsidR="00AE3CDA" w:rsidRPr="005968B8" w:rsidRDefault="00AE3CDA" w:rsidP="00AE3CDA">
      <w:pPr>
        <w:numPr>
          <w:ilvl w:val="0"/>
          <w:numId w:val="2"/>
        </w:numPr>
        <w:spacing w:before="100" w:beforeAutospacing="1" w:after="100" w:afterAutospacing="1"/>
        <w:rPr>
          <w:rFonts w:ascii="Helvetica" w:eastAsia="Times New Roman" w:hAnsi="Helvetica" w:cs="Times New Roman"/>
          <w:color w:val="000000"/>
          <w:sz w:val="21"/>
          <w:szCs w:val="21"/>
          <w:highlight w:val="yellow"/>
        </w:rPr>
      </w:pPr>
      <w:r w:rsidRPr="0047530B">
        <w:rPr>
          <w:rFonts w:ascii="Helvetica" w:eastAsia="Times New Roman" w:hAnsi="Helvetica" w:cs="Times New Roman"/>
          <w:color w:val="000000"/>
          <w:sz w:val="21"/>
          <w:szCs w:val="21"/>
          <w:highlight w:val="yellow"/>
        </w:rPr>
        <w:t>$100 million to the Behavioral Health Workforce and Education and Training Program in order to train additional behavioral health workers.</w:t>
      </w:r>
    </w:p>
    <w:p w14:paraId="5307FE0A" w14:textId="77777777" w:rsidR="00AE3CDA" w:rsidRPr="005968B8" w:rsidRDefault="00AE3CDA" w:rsidP="00AE3CDA">
      <w:pPr>
        <w:spacing w:before="100" w:beforeAutospacing="1" w:after="100" w:afterAutospacing="1"/>
        <w:ind w:left="720"/>
        <w:rPr>
          <w:rFonts w:ascii="Helvetica" w:eastAsia="Times New Roman" w:hAnsi="Helvetica" w:cs="Times New Roman"/>
          <w:color w:val="000000"/>
          <w:sz w:val="21"/>
          <w:szCs w:val="21"/>
          <w:highlight w:val="yellow"/>
        </w:rPr>
      </w:pPr>
      <w:r w:rsidRPr="005968B8">
        <w:rPr>
          <w:rFonts w:ascii="Times New Roman" w:eastAsia="Times New Roman" w:hAnsi="Times New Roman" w:cs="Times New Roman"/>
          <w:color w:val="000000"/>
          <w:sz w:val="22"/>
          <w:szCs w:val="22"/>
        </w:rPr>
        <w:t xml:space="preserve">Source: </w:t>
      </w:r>
      <w:hyperlink r:id="rId9" w:history="1">
        <w:r w:rsidRPr="005968B8">
          <w:rPr>
            <w:rStyle w:val="Hyperlink"/>
            <w:rFonts w:ascii="Times New Roman" w:hAnsi="Times New Roman"/>
            <w:sz w:val="22"/>
            <w:szCs w:val="22"/>
          </w:rPr>
          <w:t>https://www.americanactionforum.org/insight/the-american-rescue-plan-and-health-policy/</w:t>
        </w:r>
      </w:hyperlink>
    </w:p>
    <w:p w14:paraId="74A99D4C" w14:textId="77777777" w:rsidR="00AE3CDA" w:rsidRPr="00024158" w:rsidRDefault="00AE3CDA" w:rsidP="00AE3CDA">
      <w:pPr>
        <w:rPr>
          <w:rFonts w:ascii="Times New Roman" w:hAnsi="Times New Roman" w:cs="Times New Roman"/>
          <w:bCs/>
        </w:rPr>
      </w:pPr>
      <w:r w:rsidRPr="00024158">
        <w:rPr>
          <w:rFonts w:ascii="Times New Roman" w:hAnsi="Times New Roman" w:cs="Times New Roman"/>
          <w:bCs/>
        </w:rPr>
        <w:t>It is important to note that The North Carolina Provider Council both understands and appreciates the objectives of an ASAM training requirement and the addition of ASAM levels of care being added to North Carolina beneficiaries.  Our providers see no need for redundant assessments to be performed, especially when SU issues are present.  The intent is good.  Given the opportunity, Providers will adjust and adapt to these new conditions.  But as it has been presented – the additional cost to providers is simply too much to sustain.</w:t>
      </w:r>
    </w:p>
    <w:p w14:paraId="2A045A62" w14:textId="77777777" w:rsidR="00AE3CDA" w:rsidRDefault="00AE3CDA" w:rsidP="00AE3CDA">
      <w:pPr>
        <w:rPr>
          <w:rFonts w:ascii="Times New Roman" w:hAnsi="Times New Roman" w:cs="Times New Roman"/>
          <w:bCs/>
        </w:rPr>
      </w:pPr>
    </w:p>
    <w:p w14:paraId="040C1921" w14:textId="77777777" w:rsidR="00AE3CDA" w:rsidRDefault="00AE3CDA" w:rsidP="00AE3CDA">
      <w:pPr>
        <w:rPr>
          <w:rFonts w:ascii="Times New Roman" w:hAnsi="Times New Roman" w:cs="Times New Roman"/>
          <w:bCs/>
        </w:rPr>
      </w:pPr>
      <w:r>
        <w:rPr>
          <w:rFonts w:ascii="Times New Roman" w:hAnsi="Times New Roman" w:cs="Times New Roman"/>
          <w:bCs/>
        </w:rPr>
        <w:t>Thank you for your consideration of the above comments.</w:t>
      </w:r>
    </w:p>
    <w:p w14:paraId="5F2CAAF4" w14:textId="77777777" w:rsidR="00AE3CDA" w:rsidRDefault="00AE3CDA" w:rsidP="00AE3CDA">
      <w:pPr>
        <w:rPr>
          <w:rFonts w:ascii="Times New Roman" w:hAnsi="Times New Roman" w:cs="Times New Roman"/>
          <w:bCs/>
        </w:rPr>
      </w:pPr>
    </w:p>
    <w:p w14:paraId="4FA733AC" w14:textId="77777777" w:rsidR="00AE3CDA" w:rsidRDefault="00AE3CDA" w:rsidP="00AE3CDA">
      <w:pPr>
        <w:rPr>
          <w:rFonts w:ascii="Times New Roman" w:hAnsi="Times New Roman" w:cs="Times New Roman"/>
          <w:bCs/>
        </w:rPr>
      </w:pPr>
      <w:r>
        <w:rPr>
          <w:rFonts w:ascii="Times New Roman" w:hAnsi="Times New Roman" w:cs="Times New Roman"/>
          <w:bCs/>
        </w:rPr>
        <w:t>Joel Maynard</w:t>
      </w:r>
    </w:p>
    <w:p w14:paraId="5C762FF0" w14:textId="77777777" w:rsidR="00AE3CDA" w:rsidRDefault="00AE3CDA" w:rsidP="00AE3CDA">
      <w:pPr>
        <w:rPr>
          <w:rFonts w:ascii="Times New Roman" w:hAnsi="Times New Roman" w:cs="Times New Roman"/>
          <w:bCs/>
        </w:rPr>
      </w:pPr>
      <w:r>
        <w:rPr>
          <w:rFonts w:ascii="Times New Roman" w:hAnsi="Times New Roman" w:cs="Times New Roman"/>
          <w:bCs/>
        </w:rPr>
        <w:t>919.633.0753</w:t>
      </w:r>
    </w:p>
    <w:p w14:paraId="3D19FDF4" w14:textId="77777777" w:rsidR="00AE3CDA" w:rsidRDefault="00AE3CDA" w:rsidP="00AE3CDA">
      <w:pPr>
        <w:rPr>
          <w:rFonts w:ascii="Times New Roman" w:hAnsi="Times New Roman" w:cs="Times New Roman"/>
          <w:bCs/>
        </w:rPr>
      </w:pPr>
      <w:r>
        <w:rPr>
          <w:rFonts w:ascii="Times New Roman" w:hAnsi="Times New Roman" w:cs="Times New Roman"/>
          <w:bCs/>
        </w:rPr>
        <w:t>joel.maynard@gmail.com</w:t>
      </w:r>
    </w:p>
    <w:p w14:paraId="29304578" w14:textId="77777777" w:rsidR="00AE3CDA" w:rsidRDefault="00AE3CDA" w:rsidP="00AE3CDA">
      <w:pPr>
        <w:rPr>
          <w:rFonts w:ascii="Times New Roman" w:hAnsi="Times New Roman" w:cs="Times New Roman"/>
          <w:bCs/>
        </w:rPr>
      </w:pPr>
    </w:p>
    <w:p w14:paraId="3BE5DF8A" w14:textId="77777777" w:rsidR="00AE3CDA" w:rsidRDefault="00AE3CDA" w:rsidP="00AE3CDA">
      <w:pPr>
        <w:rPr>
          <w:rFonts w:ascii="Times New Roman" w:hAnsi="Times New Roman" w:cs="Times New Roman"/>
          <w:bCs/>
        </w:rPr>
      </w:pPr>
    </w:p>
    <w:p w14:paraId="7CBD8DE4" w14:textId="77777777" w:rsidR="00AE3CDA" w:rsidRPr="009C51EB" w:rsidRDefault="00AE3CDA" w:rsidP="00AE3CDA">
      <w:pPr>
        <w:rPr>
          <w:rFonts w:ascii="Times New Roman" w:hAnsi="Times New Roman" w:cs="Times New Roman"/>
        </w:rPr>
      </w:pPr>
    </w:p>
    <w:p w14:paraId="44A22753" w14:textId="77777777" w:rsidR="00A80B59" w:rsidRDefault="00A80B59"/>
    <w:sectPr w:rsidR="00A80B59" w:rsidSect="001143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00AC" w14:textId="77777777" w:rsidR="00B93F70" w:rsidRDefault="00B93F70">
      <w:r>
        <w:separator/>
      </w:r>
    </w:p>
  </w:endnote>
  <w:endnote w:type="continuationSeparator" w:id="0">
    <w:p w14:paraId="39E399DD" w14:textId="77777777" w:rsidR="00B93F70" w:rsidRDefault="00B9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923F" w14:textId="77777777" w:rsidR="00A37A78" w:rsidRDefault="00536044">
    <w:pPr>
      <w:pStyle w:val="Footer"/>
    </w:pPr>
    <w:r w:rsidRPr="001640F2">
      <w:rPr>
        <w:rFonts w:cstheme="minorHAnsi"/>
        <w:noProof/>
        <w:szCs w:val="22"/>
      </w:rPr>
      <w:drawing>
        <wp:inline distT="0" distB="0" distL="0" distR="0" wp14:anchorId="4402FB14" wp14:editId="416707F4">
          <wp:extent cx="5943600" cy="260985"/>
          <wp:effectExtent l="0" t="0" r="0" b="5715"/>
          <wp:docPr id="3"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
                  <a:srcRect/>
                  <a:stretch>
                    <a:fillRect/>
                  </a:stretch>
                </pic:blipFill>
                <pic:spPr>
                  <a:xfrm>
                    <a:off x="0" y="0"/>
                    <a:ext cx="5943600" cy="2609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0CFE" w14:textId="77777777" w:rsidR="00B93F70" w:rsidRDefault="00B93F70">
      <w:r>
        <w:separator/>
      </w:r>
    </w:p>
  </w:footnote>
  <w:footnote w:type="continuationSeparator" w:id="0">
    <w:p w14:paraId="2EDC31BA" w14:textId="77777777" w:rsidR="00B93F70" w:rsidRDefault="00B9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97DBE"/>
    <w:multiLevelType w:val="multilevel"/>
    <w:tmpl w:val="805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D0503"/>
    <w:multiLevelType w:val="multilevel"/>
    <w:tmpl w:val="D5DAC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DA"/>
    <w:rsid w:val="001D5B2A"/>
    <w:rsid w:val="00536044"/>
    <w:rsid w:val="00A80B59"/>
    <w:rsid w:val="00AE3CDA"/>
    <w:rsid w:val="00B93F70"/>
    <w:rsid w:val="00E0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F59EA"/>
  <w15:chartTrackingRefBased/>
  <w15:docId w15:val="{0E8CB70D-6FFC-F54A-88F7-91EE4D84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CDA"/>
    <w:rPr>
      <w:color w:val="0563C1" w:themeColor="hyperlink"/>
      <w:u w:val="single"/>
    </w:rPr>
  </w:style>
  <w:style w:type="paragraph" w:styleId="Footer">
    <w:name w:val="footer"/>
    <w:basedOn w:val="Normal"/>
    <w:link w:val="FooterChar"/>
    <w:uiPriority w:val="99"/>
    <w:unhideWhenUsed/>
    <w:rsid w:val="00AE3CDA"/>
    <w:pPr>
      <w:tabs>
        <w:tab w:val="center" w:pos="4680"/>
        <w:tab w:val="right" w:pos="9360"/>
      </w:tabs>
    </w:pPr>
  </w:style>
  <w:style w:type="character" w:customStyle="1" w:styleId="FooterChar">
    <w:name w:val="Footer Char"/>
    <w:basedOn w:val="DefaultParagraphFont"/>
    <w:link w:val="Footer"/>
    <w:uiPriority w:val="99"/>
    <w:rsid w:val="00AE3CDA"/>
  </w:style>
  <w:style w:type="paragraph" w:styleId="ListParagraph">
    <w:name w:val="List Paragraph"/>
    <w:basedOn w:val="Normal"/>
    <w:uiPriority w:val="34"/>
    <w:qFormat/>
    <w:rsid w:val="00E0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42151">
      <w:bodyDiv w:val="1"/>
      <w:marLeft w:val="0"/>
      <w:marRight w:val="0"/>
      <w:marTop w:val="0"/>
      <w:marBottom w:val="0"/>
      <w:divBdr>
        <w:top w:val="none" w:sz="0" w:space="0" w:color="auto"/>
        <w:left w:val="none" w:sz="0" w:space="0" w:color="auto"/>
        <w:bottom w:val="none" w:sz="0" w:space="0" w:color="auto"/>
        <w:right w:val="none" w:sz="0" w:space="0" w:color="auto"/>
      </w:divBdr>
    </w:div>
    <w:div w:id="1139494484">
      <w:bodyDiv w:val="1"/>
      <w:marLeft w:val="0"/>
      <w:marRight w:val="0"/>
      <w:marTop w:val="0"/>
      <w:marBottom w:val="0"/>
      <w:divBdr>
        <w:top w:val="none" w:sz="0" w:space="0" w:color="auto"/>
        <w:left w:val="none" w:sz="0" w:space="0" w:color="auto"/>
        <w:bottom w:val="none" w:sz="0" w:space="0" w:color="auto"/>
        <w:right w:val="none" w:sz="0" w:space="0" w:color="auto"/>
      </w:divBdr>
    </w:div>
    <w:div w:id="20913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asam.org/products/webinar-the-asam-criteria-copyright-and-permissions-process-for-stat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ericanactionforum.org/insight/the-american-rescue-plan-and-health-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joel.maynard@gmail.com</cp:lastModifiedBy>
  <cp:revision>4</cp:revision>
  <dcterms:created xsi:type="dcterms:W3CDTF">2021-03-11T19:45:00Z</dcterms:created>
  <dcterms:modified xsi:type="dcterms:W3CDTF">2021-03-11T21:15:00Z</dcterms:modified>
</cp:coreProperties>
</file>